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宋体" w:hAnsi="宋体" w:cs="宋体"/>
          <w:b/>
          <w:bCs/>
          <w:kern w:val="0"/>
          <w:sz w:val="44"/>
          <w:szCs w:val="44"/>
        </w:rPr>
      </w:pPr>
      <w:r>
        <w:rPr>
          <w:rFonts w:hint="eastAsia" w:ascii="黑体" w:hAnsi="黑体" w:eastAsia="黑体"/>
          <w:sz w:val="32"/>
          <w:szCs w:val="32"/>
        </w:rPr>
        <w:t>附件2：</w:t>
      </w:r>
    </w:p>
    <w:p>
      <w:pPr>
        <w:rPr>
          <w:rFonts w:ascii="宋体" w:hAnsi="宋体" w:cs="宋体"/>
          <w:b/>
          <w:bCs/>
          <w:kern w:val="0"/>
          <w:sz w:val="44"/>
          <w:szCs w:val="44"/>
        </w:rPr>
      </w:pPr>
    </w:p>
    <w:p>
      <w:pPr>
        <w:rPr>
          <w:rFonts w:ascii="宋体" w:hAnsi="宋体" w:cs="宋体"/>
          <w:b/>
          <w:bCs/>
          <w:kern w:val="0"/>
          <w:sz w:val="44"/>
          <w:szCs w:val="44"/>
        </w:rPr>
      </w:pPr>
    </w:p>
    <w:p>
      <w:pPr>
        <w:rPr>
          <w:rFonts w:ascii="宋体" w:hAnsi="宋体" w:cs="宋体"/>
          <w:b/>
          <w:bCs/>
          <w:kern w:val="0"/>
          <w:sz w:val="44"/>
          <w:szCs w:val="44"/>
        </w:rPr>
      </w:pPr>
    </w:p>
    <w:p>
      <w:pPr>
        <w:rPr>
          <w:rFonts w:ascii="黑体" w:hAnsi="黑体" w:eastAsia="黑体"/>
          <w:sz w:val="32"/>
          <w:szCs w:val="32"/>
        </w:rPr>
      </w:pPr>
    </w:p>
    <w:p>
      <w:pPr>
        <w:rPr>
          <w:rFonts w:ascii="宋体" w:hAnsi="宋体" w:cs="宋体"/>
          <w:b/>
          <w:bCs/>
          <w:kern w:val="0"/>
          <w:sz w:val="44"/>
          <w:szCs w:val="44"/>
        </w:rPr>
      </w:pPr>
    </w:p>
    <w:p>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rPr>
        <w:t>昌吉州商务局2021</w:t>
      </w:r>
      <w:bookmarkStart w:id="0" w:name="_GoBack"/>
      <w:bookmarkEnd w:id="0"/>
      <w:r>
        <w:rPr>
          <w:rFonts w:hint="eastAsia" w:ascii="方正小标宋_GBK" w:hAnsi="宋体" w:eastAsia="方正小标宋_GBK"/>
          <w:kern w:val="0"/>
          <w:sz w:val="44"/>
          <w:szCs w:val="44"/>
        </w:rPr>
        <w:t>年部门预算公开</w:t>
      </w: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line="480" w:lineRule="exact"/>
        <w:jc w:val="center"/>
        <w:outlineLvl w:val="1"/>
        <w:rPr>
          <w:rFonts w:ascii="黑体" w:hAnsi="黑体" w:eastAsia="黑体"/>
          <w:kern w:val="0"/>
          <w:sz w:val="36"/>
          <w:szCs w:val="32"/>
        </w:rPr>
      </w:pPr>
      <w:r>
        <w:rPr>
          <w:rFonts w:hint="eastAsia" w:ascii="黑体" w:hAnsi="黑体" w:eastAsia="黑体"/>
          <w:kern w:val="0"/>
          <w:sz w:val="36"/>
          <w:szCs w:val="32"/>
        </w:rPr>
        <w:t>目 录</w:t>
      </w:r>
    </w:p>
    <w:p>
      <w:pPr>
        <w:widowControl/>
        <w:spacing w:line="480" w:lineRule="exact"/>
        <w:ind w:firstLine="883" w:firstLineChars="200"/>
        <w:outlineLvl w:val="1"/>
        <w:rPr>
          <w:rFonts w:ascii="宋体" w:hAnsi="宋体"/>
          <w:b/>
          <w:kern w:val="0"/>
          <w:sz w:val="44"/>
          <w:szCs w:val="44"/>
        </w:rPr>
      </w:pPr>
    </w:p>
    <w:p>
      <w:pPr>
        <w:widowControl/>
        <w:spacing w:line="48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第一部分  昌吉州商务局概况</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一、主要职能</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二、机构设置及人员情况</w:t>
      </w:r>
    </w:p>
    <w:p>
      <w:pPr>
        <w:widowControl/>
        <w:spacing w:line="48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第二部分  2021年部门（单位）预算公开表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一、昌吉州商务局收支总体情况表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二、昌吉州商务局收入总体情况表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三、昌吉州商务局支出总体情况表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四、财政拨款收支总体情况表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五、一般公共预算支出情况表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六、一般公共预算基本支出情况表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七、一般公共预算</w:t>
      </w:r>
      <w:r>
        <w:rPr>
          <w:rFonts w:hint="eastAsia" w:ascii="仿宋_GB2312" w:hAnsi="宋体" w:eastAsia="仿宋_GB2312"/>
          <w:bCs/>
          <w:kern w:val="0"/>
          <w:sz w:val="32"/>
          <w:szCs w:val="32"/>
        </w:rPr>
        <w:t>项目支出情况表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八、一般公共预算“三公”经费支出情况表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九、政府性基金预算支出情况表</w:t>
      </w:r>
    </w:p>
    <w:p>
      <w:pPr>
        <w:widowControl/>
        <w:spacing w:line="48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第三部分  2021年部门（单位）预算情况说明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一、关于昌吉州商务局2021年收支预算情况的总体说明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二、关于昌吉州商务局2021年收入预算情况说明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三、关于昌吉州商务局2021年支出预算情况说明</w:t>
      </w:r>
    </w:p>
    <w:p>
      <w:pPr>
        <w:widowControl/>
        <w:spacing w:line="480" w:lineRule="exact"/>
        <w:ind w:firstLine="640" w:firstLineChars="200"/>
        <w:outlineLvl w:val="1"/>
        <w:rPr>
          <w:rFonts w:ascii="仿宋_GB2312" w:hAnsi="宋体" w:eastAsia="仿宋_GB2312"/>
          <w:bCs/>
          <w:kern w:val="0"/>
          <w:sz w:val="32"/>
          <w:szCs w:val="32"/>
        </w:rPr>
      </w:pPr>
      <w:r>
        <w:rPr>
          <w:rFonts w:hint="eastAsia" w:ascii="仿宋_GB2312" w:hAnsi="宋体" w:eastAsia="仿宋_GB2312"/>
          <w:bCs/>
          <w:kern w:val="0"/>
          <w:sz w:val="32"/>
          <w:szCs w:val="32"/>
        </w:rPr>
        <w:t>四、关于</w:t>
      </w:r>
      <w:r>
        <w:rPr>
          <w:rFonts w:hint="eastAsia" w:ascii="仿宋_GB2312" w:hAnsi="宋体" w:eastAsia="仿宋_GB2312"/>
          <w:kern w:val="0"/>
          <w:sz w:val="32"/>
          <w:szCs w:val="32"/>
        </w:rPr>
        <w:t>昌吉州商务局2021</w:t>
      </w:r>
      <w:r>
        <w:rPr>
          <w:rFonts w:hint="eastAsia" w:ascii="仿宋_GB2312" w:hAnsi="宋体" w:eastAsia="仿宋_GB2312"/>
          <w:bCs/>
          <w:kern w:val="0"/>
          <w:sz w:val="32"/>
          <w:szCs w:val="32"/>
        </w:rPr>
        <w:t>年财政拨款收支预算情况的总体说明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五、关于昌吉州商务局2021年一般公共预算当年拨款情况说明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六、关于昌吉州商务局2021年一般公共预算基本支出情况说明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七、关于昌吉州商务局2021年一般公共预算项目支出情况说明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八、关于昌吉州商务局2021年一般公共预算“三公”经费预算情况说明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九、关于昌吉州商务局2021年政府性基金预算拨款情况说明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十、其他重要事项的情况说明</w:t>
      </w:r>
    </w:p>
    <w:p>
      <w:pPr>
        <w:widowControl/>
        <w:spacing w:line="48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第四部分  名词解释</w:t>
      </w: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560" w:lineRule="exact"/>
        <w:jc w:val="center"/>
        <w:outlineLvl w:val="1"/>
        <w:rPr>
          <w:rFonts w:ascii="黑体" w:hAnsi="黑体" w:eastAsia="黑体"/>
          <w:kern w:val="0"/>
          <w:sz w:val="32"/>
          <w:szCs w:val="32"/>
        </w:rPr>
      </w:pPr>
    </w:p>
    <w:p>
      <w:pPr>
        <w:widowControl/>
        <w:spacing w:line="560" w:lineRule="exact"/>
        <w:jc w:val="center"/>
        <w:outlineLvl w:val="1"/>
        <w:rPr>
          <w:rFonts w:ascii="黑体" w:hAnsi="黑体" w:eastAsia="黑体"/>
          <w:kern w:val="0"/>
          <w:sz w:val="32"/>
          <w:szCs w:val="32"/>
        </w:rPr>
      </w:pPr>
      <w:r>
        <w:rPr>
          <w:rFonts w:hint="eastAsia" w:ascii="黑体" w:hAnsi="黑体" w:eastAsia="黑体"/>
          <w:kern w:val="0"/>
          <w:sz w:val="32"/>
          <w:szCs w:val="32"/>
        </w:rPr>
        <w:t>第一部分   昌吉州商务局单位概况</w:t>
      </w:r>
    </w:p>
    <w:p>
      <w:pPr>
        <w:widowControl/>
        <w:spacing w:line="560" w:lineRule="exact"/>
        <w:jc w:val="center"/>
        <w:outlineLvl w:val="1"/>
        <w:rPr>
          <w:rFonts w:ascii="宋体" w:hAnsi="宋体"/>
          <w:b/>
          <w:kern w:val="0"/>
          <w:sz w:val="32"/>
          <w:szCs w:val="32"/>
        </w:rPr>
      </w:pPr>
    </w:p>
    <w:p>
      <w:pPr>
        <w:widowControl/>
        <w:spacing w:line="56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一、主要职能</w:t>
      </w:r>
    </w:p>
    <w:p>
      <w:pPr>
        <w:widowControl/>
        <w:spacing w:line="5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自治昌吉州商务局贯彻落实党中央关于商务工作的方针政策和决策部署以及自治区、自治昌吉州党委工作要求，在履行职责过程中坚持和加强党对商务工作的集中统一领导。主要职责是：</w:t>
      </w:r>
    </w:p>
    <w:p>
      <w:pPr>
        <w:widowControl/>
        <w:spacing w:line="5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 xml:space="preserve">    （一）贯彻执行国家和自治区有关内外贸易、国内外经济技术合作和外商投资政策、法规；拟订自治昌吉州内外贸易、招商引资、对外经济合作、外商投资、对外投资中长期规划、年度计划，并组织实施；研究“一带一路”建设、区域经济合作、现代流通方式的发展趋势和流通体制改革并提出建议。</w:t>
      </w:r>
    </w:p>
    <w:p>
      <w:pPr>
        <w:widowControl/>
        <w:spacing w:line="5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负责推进流通产业结构调整，指导流通企业改革，商贸服务业和社区商业发展，提出促进商贸中小企业发展的政策建议，推动流通标准化和连锁经营、商业特许经营、物流配送、电子商务等现代流通方式的发展。</w:t>
      </w:r>
    </w:p>
    <w:p>
      <w:pPr>
        <w:widowControl/>
        <w:spacing w:line="5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（三）指导大宗产品批发市场规划和商业网点规划、商业体系建设工作。研究提出自治昌吉州流通行业和生活服务业重点设施布局意见，协调自治昌吉州商业中心、特色商业街和各类商品交易市场的规划和建设。</w:t>
      </w:r>
    </w:p>
    <w:p>
      <w:pPr>
        <w:widowControl/>
        <w:spacing w:line="5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四）承担牵头协调整顿和规范市场经济秩序工作的责任。拟订自治昌吉州规范市场运行、流通秩序的政策，推动商务领域信用建设，指导商业信用销售；建立市场诚信公共服务平台，按有关规定对特殊流通行业进行监督管理。负责酒类流通的监督管理及相应的行政复议工作；指导再生资源流通管理工作。</w:t>
      </w:r>
    </w:p>
    <w:p>
      <w:pPr>
        <w:widowControl/>
        <w:spacing w:line="5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承担组织实施重要消费品市场调控和重要生产资料流通管理的责任。负责建立健全生活必需品市场供应应急管理机制，监测分析市场运行、商品供求状况，调查分析商品价格信息并进行预测预警和信息引导，按分工负责重要消费品储备管理和市场调控工作；按有关规定对成品油流通环节进行监督管理。</w:t>
      </w:r>
    </w:p>
    <w:p>
      <w:pPr>
        <w:widowControl/>
        <w:spacing w:line="5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（六）制定电子商务发展规划和政策措施并组织实施；指导企业信息化及运用电子商务开拓国内外市场；负责建立电子商务行业统计和评价体系，牵头推进电子商务支撑服务体系发展。</w:t>
      </w:r>
    </w:p>
    <w:p>
      <w:pPr>
        <w:widowControl/>
        <w:spacing w:line="5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负责自治昌吉州对外贸易的管理。贯彻执行国家进出口商品、加工贸易管理办法和进出口管理商品、技术目录，拟订促进外贸增长方式转变的政策措施；组织实施自治昌吉州进出口配额计划，贯彻执行国家、自治区有关边境贸易的各项政策并组织实施，贯彻落实国家对外技术贸易、出口管制以及鼓励技术和成套设备进出口的贸易政策。会同有关部门制定促进自治昌吉州服务贸易和服务外包发展的规划并组织实施；推动服务外包平台建设；组织协调自治昌吉州反倾销、反补贴、保障措施及其他与进出口公平贸易相关的工作，建立进出口公平贸易及产业损害预警机制；依法实施对外贸易调查和产业损害调查，指导协调产业安全应对工作及国外对自治昌吉州出口商品的反倾销、反补贴、保障措施的应诉等相关工作。</w:t>
      </w:r>
    </w:p>
    <w:p>
      <w:pPr>
        <w:widowControl/>
        <w:spacing w:line="5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指导外商投资工作。依法核准权限内自治昌吉州外商投资企业的设立和变更事项；负责国家规定的限额以上、限制投资和涉及配额、许可证管理的外商投资企业的设立及其变更事项的审核上报工作；负责管理、监督自治昌吉州外商投资企业执行有关法律、法规、合同情况。</w:t>
      </w:r>
    </w:p>
    <w:p>
      <w:pPr>
        <w:widowControl/>
        <w:spacing w:line="5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负责对外经济合作工作。执行对外经济合作政策，指导和监督自治昌吉州境外承包工程及对外劳务合作；审核上报自治昌吉州企业（组织）在境外投资项目和驻外机构，协调外派劳务人员的权益保护工作；申报多边、双边国际及民间无偿援助项目。</w:t>
      </w:r>
    </w:p>
    <w:p>
      <w:pPr>
        <w:widowControl/>
        <w:spacing w:line="5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十）负责自治昌吉州招商引资工作协调、组织、管理。执行自治区招商引资方针政策，编制招商引资发展规划和年度计划，建设自治昌吉州绿色招商项目库，落实重大招商项目跟进责任制，参与评审论证自治昌吉州重点招商项目，完善招商引资服务体系；负责招商引资统计通报、信息收集和目标考核等工作。</w:t>
      </w:r>
    </w:p>
    <w:p>
      <w:pPr>
        <w:widowControl/>
        <w:spacing w:line="5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十一）负责与自治区各地昌吉州及内地各省市之间的横向经济联合协作。开展外引内联、对口支援及有关项目的对接落实工作；组织和参与各类商务领域交易会、洽谈会、博览会、展览会和有关招商活动；负责外省市人民政府、企业驻昌吉州办事机构和企业联合会（商会）等社团组织招商引资及重大项目引进落实。</w:t>
      </w:r>
    </w:p>
    <w:p>
      <w:pPr>
        <w:widowControl/>
        <w:spacing w:line="560" w:lineRule="exact"/>
        <w:ind w:firstLine="640" w:firstLineChars="200"/>
        <w:outlineLvl w:val="1"/>
        <w:rPr>
          <w:rFonts w:ascii="仿宋_GB2312" w:hAnsi="宋体" w:eastAsia="仿宋_GB2312" w:cs="宋体"/>
          <w:bCs/>
          <w:kern w:val="0"/>
          <w:sz w:val="32"/>
          <w:szCs w:val="32"/>
        </w:rPr>
      </w:pPr>
      <w:r>
        <w:rPr>
          <w:rFonts w:hint="eastAsia" w:ascii="仿宋_GB2312" w:hAnsi="宋体" w:eastAsia="仿宋_GB2312"/>
          <w:kern w:val="0"/>
          <w:sz w:val="32"/>
          <w:szCs w:val="32"/>
        </w:rPr>
        <w:t>（十二）完成自治昌吉州党委、自治昌吉州人民政府交办的其他任务。</w:t>
      </w:r>
    </w:p>
    <w:p>
      <w:pPr>
        <w:widowControl/>
        <w:spacing w:line="56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二、机构设置及人员情况</w:t>
      </w:r>
    </w:p>
    <w:p>
      <w:pPr>
        <w:widowControl/>
        <w:spacing w:line="56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昌吉州商务局</w:t>
      </w:r>
      <w:r>
        <w:rPr>
          <w:rFonts w:hint="eastAsia" w:ascii="仿宋_GB2312" w:hAnsi="黑体" w:eastAsia="仿宋_GB2312" w:cs="宋体"/>
          <w:bCs/>
          <w:kern w:val="0"/>
          <w:sz w:val="32"/>
          <w:szCs w:val="32"/>
        </w:rPr>
        <w:t>无下属预算单位，下设6个处室，分别是：</w:t>
      </w:r>
      <w:r>
        <w:rPr>
          <w:rFonts w:hint="eastAsia" w:ascii="仿宋_GB2312" w:hAnsi="宋体" w:eastAsia="仿宋_GB2312" w:cs="宋体"/>
          <w:kern w:val="0"/>
          <w:sz w:val="32"/>
          <w:szCs w:val="32"/>
        </w:rPr>
        <w:t>办公室（组织人事科）、市场体系建设科（流通发展科）、市场运行秩序科、消费促进和电子商务科、服务贸易和经贸服务科、投资促进科。</w:t>
      </w:r>
    </w:p>
    <w:p>
      <w:pPr>
        <w:widowControl/>
        <w:spacing w:line="56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昌吉州商务局编制数</w:t>
      </w:r>
      <w:r>
        <w:rPr>
          <w:rFonts w:hint="eastAsia" w:ascii="仿宋" w:hAnsi="仿宋" w:eastAsia="仿宋"/>
          <w:color w:val="000000"/>
          <w:sz w:val="32"/>
          <w:szCs w:val="32"/>
        </w:rPr>
        <w:t>行政编制22，实有行政人员21人，</w:t>
      </w:r>
      <w:r>
        <w:rPr>
          <w:rFonts w:hint="eastAsia" w:ascii="仿宋" w:hAnsi="仿宋" w:eastAsia="仿宋" w:cs="宋体"/>
          <w:color w:val="000000"/>
          <w:kern w:val="0"/>
          <w:sz w:val="32"/>
          <w:szCs w:val="32"/>
        </w:rPr>
        <w:t>较上年预算人数减少1人</w:t>
      </w:r>
      <w:r>
        <w:rPr>
          <w:rFonts w:hint="eastAsia" w:ascii="仿宋" w:hAnsi="仿宋" w:eastAsia="仿宋"/>
          <w:color w:val="000000"/>
          <w:sz w:val="32"/>
          <w:szCs w:val="32"/>
        </w:rPr>
        <w:t>；退休人数9人，</w:t>
      </w:r>
      <w:r>
        <w:rPr>
          <w:rFonts w:hint="eastAsia" w:ascii="仿宋" w:hAnsi="仿宋" w:eastAsia="仿宋" w:cs="宋体"/>
          <w:color w:val="000000"/>
          <w:kern w:val="0"/>
          <w:sz w:val="32"/>
          <w:szCs w:val="32"/>
        </w:rPr>
        <w:t>较上年预算人数</w:t>
      </w:r>
      <w:r>
        <w:rPr>
          <w:rFonts w:hint="eastAsia" w:ascii="仿宋" w:hAnsi="仿宋" w:eastAsia="仿宋" w:cs="宋体"/>
          <w:kern w:val="0"/>
          <w:sz w:val="32"/>
          <w:szCs w:val="32"/>
        </w:rPr>
        <w:t>增加1人。</w:t>
      </w:r>
      <w:r>
        <w:rPr>
          <w:rFonts w:hint="eastAsia" w:ascii="仿宋_GB2312" w:hAnsi="宋体" w:eastAsia="仿宋_GB2312" w:cs="宋体"/>
          <w:kern w:val="0"/>
          <w:sz w:val="32"/>
          <w:szCs w:val="32"/>
        </w:rPr>
        <w:t xml:space="preserve">   </w:t>
      </w: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p>
    <w:p>
      <w:pPr>
        <w:widowControl/>
        <w:spacing w:line="480" w:lineRule="exact"/>
        <w:jc w:val="left"/>
        <w:rPr>
          <w:rFonts w:ascii="仿宋_GB2312" w:hAnsi="宋体" w:eastAsia="仿宋_GB2312" w:cs="宋体"/>
          <w:kern w:val="0"/>
          <w:sz w:val="32"/>
          <w:szCs w:val="32"/>
        </w:rPr>
      </w:pPr>
    </w:p>
    <w:p>
      <w:pPr>
        <w:widowControl/>
        <w:spacing w:line="280" w:lineRule="exact"/>
        <w:outlineLvl w:val="1"/>
        <w:rPr>
          <w:rFonts w:ascii="黑体" w:hAnsi="黑体" w:eastAsia="黑体"/>
          <w:kern w:val="0"/>
          <w:sz w:val="32"/>
          <w:szCs w:val="32"/>
        </w:rPr>
      </w:pPr>
    </w:p>
    <w:p>
      <w:pPr>
        <w:widowControl/>
        <w:spacing w:line="440" w:lineRule="exact"/>
        <w:jc w:val="center"/>
        <w:outlineLvl w:val="1"/>
        <w:rPr>
          <w:rFonts w:ascii="黑体" w:hAnsi="黑体" w:eastAsia="黑体"/>
          <w:kern w:val="0"/>
          <w:sz w:val="32"/>
          <w:szCs w:val="32"/>
        </w:rPr>
      </w:pPr>
      <w:r>
        <w:rPr>
          <w:rFonts w:hint="eastAsia" w:ascii="黑体" w:hAnsi="黑体" w:eastAsia="黑体"/>
          <w:kern w:val="0"/>
          <w:sz w:val="32"/>
          <w:szCs w:val="32"/>
        </w:rPr>
        <w:t>第二部分  2021年部门（单位）预算公开表</w:t>
      </w:r>
    </w:p>
    <w:p>
      <w:pPr>
        <w:widowControl/>
        <w:spacing w:line="44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表一：</w:t>
      </w:r>
    </w:p>
    <w:p>
      <w:pPr>
        <w:widowControl/>
        <w:spacing w:line="440" w:lineRule="exact"/>
        <w:jc w:val="center"/>
        <w:outlineLvl w:val="1"/>
        <w:rPr>
          <w:rFonts w:ascii="仿宋_GB2312" w:hAnsi="宋体" w:eastAsia="仿宋_GB2312"/>
          <w:b/>
          <w:color w:val="000000" w:themeColor="text1"/>
          <w:kern w:val="0"/>
          <w:sz w:val="32"/>
          <w:szCs w:val="32"/>
          <w14:textFill>
            <w14:solidFill>
              <w14:schemeClr w14:val="tx1"/>
            </w14:solidFill>
          </w14:textFill>
        </w:rPr>
      </w:pPr>
      <w:r>
        <w:rPr>
          <w:rFonts w:hint="eastAsia" w:ascii="仿宋_GB2312" w:hAnsi="宋体" w:eastAsia="仿宋_GB2312"/>
          <w:b/>
          <w:color w:val="000000" w:themeColor="text1"/>
          <w:kern w:val="0"/>
          <w:sz w:val="32"/>
          <w:szCs w:val="32"/>
          <w14:textFill>
            <w14:solidFill>
              <w14:schemeClr w14:val="tx1"/>
            </w14:solidFill>
          </w14:textFill>
        </w:rPr>
        <w:t>部门（单位）收支总体情况表</w:t>
      </w:r>
    </w:p>
    <w:p>
      <w:pPr>
        <w:widowControl/>
        <w:spacing w:line="440" w:lineRule="exact"/>
        <w:outlineLvl w:val="1"/>
        <w:rPr>
          <w:rFonts w:ascii="仿宋_GB2312" w:hAnsi="宋体" w:eastAsia="仿宋_GB2312"/>
          <w:kern w:val="0"/>
          <w:sz w:val="24"/>
        </w:rPr>
      </w:pPr>
      <w:r>
        <w:rPr>
          <w:rFonts w:hint="eastAsia" w:ascii="仿宋_GB2312" w:hAnsi="宋体" w:eastAsia="仿宋_GB2312"/>
          <w:kern w:val="0"/>
          <w:sz w:val="24"/>
        </w:rPr>
        <w:t>编制部门（单位）： 昌吉州商务局                          单位：万元</w:t>
      </w:r>
    </w:p>
    <w:tbl>
      <w:tblPr>
        <w:tblStyle w:val="6"/>
        <w:tblW w:w="8662" w:type="dxa"/>
        <w:tblInd w:w="93" w:type="dxa"/>
        <w:tblLayout w:type="fixed"/>
        <w:tblCellMar>
          <w:top w:w="0" w:type="dxa"/>
          <w:left w:w="108" w:type="dxa"/>
          <w:bottom w:w="0" w:type="dxa"/>
          <w:right w:w="108" w:type="dxa"/>
        </w:tblCellMar>
      </w:tblPr>
      <w:tblGrid>
        <w:gridCol w:w="2425"/>
        <w:gridCol w:w="1418"/>
        <w:gridCol w:w="3260"/>
        <w:gridCol w:w="1559"/>
      </w:tblGrid>
      <w:tr>
        <w:tblPrEx>
          <w:tblLayout w:type="fixed"/>
          <w:tblCellMar>
            <w:top w:w="0" w:type="dxa"/>
            <w:left w:w="108" w:type="dxa"/>
            <w:bottom w:w="0" w:type="dxa"/>
            <w:right w:w="108" w:type="dxa"/>
          </w:tblCellMar>
        </w:tblPrEx>
        <w:trPr>
          <w:trHeight w:val="360" w:hRule="atLeast"/>
        </w:trPr>
        <w:tc>
          <w:tcPr>
            <w:tcW w:w="3843" w:type="dxa"/>
            <w:gridSpan w:val="2"/>
            <w:tcBorders>
              <w:top w:val="single" w:color="auto" w:sz="4" w:space="0"/>
              <w:left w:val="single" w:color="auto" w:sz="4" w:space="0"/>
              <w:bottom w:val="single" w:color="auto" w:sz="4" w:space="0"/>
              <w:right w:val="single" w:color="000000" w:sz="4" w:space="0"/>
            </w:tcBorders>
            <w:noWrap/>
            <w:vAlign w:val="bottom"/>
          </w:tcPr>
          <w:p>
            <w:pPr>
              <w:widowControl/>
              <w:spacing w:line="28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收     入</w:t>
            </w:r>
          </w:p>
        </w:tc>
        <w:tc>
          <w:tcPr>
            <w:tcW w:w="4819" w:type="dxa"/>
            <w:gridSpan w:val="2"/>
            <w:tcBorders>
              <w:top w:val="single" w:color="auto" w:sz="4" w:space="0"/>
              <w:left w:val="nil"/>
              <w:bottom w:val="single" w:color="auto" w:sz="4" w:space="0"/>
              <w:right w:val="single" w:color="auto" w:sz="4" w:space="0"/>
            </w:tcBorders>
            <w:noWrap/>
            <w:vAlign w:val="bottom"/>
          </w:tcPr>
          <w:p>
            <w:pPr>
              <w:widowControl/>
              <w:spacing w:line="28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支     出</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项     目</w:t>
            </w:r>
          </w:p>
        </w:tc>
        <w:tc>
          <w:tcPr>
            <w:tcW w:w="1418"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预算数</w:t>
            </w:r>
          </w:p>
        </w:tc>
        <w:tc>
          <w:tcPr>
            <w:tcW w:w="3260"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功能分类</w:t>
            </w:r>
          </w:p>
        </w:tc>
        <w:tc>
          <w:tcPr>
            <w:tcW w:w="1559"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预算数</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415.09</w:t>
            </w:r>
          </w:p>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350.28</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一般公共预算</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415.09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政府性基金预算</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国有资本经营预算</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教育收费（财政专户）</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单位其他资金收入</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31.85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32.96</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p>
        </w:tc>
        <w:tc>
          <w:tcPr>
            <w:tcW w:w="1418" w:type="dxa"/>
            <w:tcBorders>
              <w:top w:val="nil"/>
              <w:left w:val="single" w:color="auto" w:sz="4" w:space="0"/>
              <w:bottom w:val="single" w:color="auto" w:sz="4" w:space="0"/>
              <w:right w:val="single" w:color="auto" w:sz="4" w:space="0"/>
            </w:tcBorders>
            <w:noWrap/>
            <w:vAlign w:val="center"/>
          </w:tcPr>
          <w:p>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single" w:color="auto" w:sz="4" w:space="0"/>
            </w:tcBorders>
            <w:noWrap/>
            <w:vAlign w:val="center"/>
          </w:tcPr>
          <w:p>
            <w:pPr>
              <w:widowControl/>
              <w:spacing w:line="280" w:lineRule="exact"/>
              <w:jc w:val="left"/>
              <w:textAlignment w:val="center"/>
              <w:rPr>
                <w:rFonts w:ascii="仿宋_GB2312" w:hAnsi="宋体" w:eastAsia="仿宋_GB2312" w:cs="宋体"/>
                <w:color w:val="000000"/>
                <w:sz w:val="18"/>
                <w:szCs w:val="18"/>
              </w:rPr>
            </w:pPr>
            <w:r>
              <w:rPr>
                <w:rFonts w:hint="eastAsia" w:ascii="仿宋_GB2312" w:hAnsi="宋体" w:eastAsia="仿宋_GB2312" w:cs="宋体"/>
                <w:color w:val="000000"/>
                <w:kern w:val="0"/>
                <w:sz w:val="18"/>
                <w:szCs w:val="18"/>
                <w:lang w:bidi="ar"/>
              </w:rPr>
              <w:t>234 抗疫特别国债还本支出</w:t>
            </w:r>
          </w:p>
        </w:tc>
        <w:tc>
          <w:tcPr>
            <w:tcW w:w="1559" w:type="dxa"/>
            <w:tcBorders>
              <w:top w:val="nil"/>
              <w:left w:val="nil"/>
              <w:bottom w:val="single" w:color="auto" w:sz="4" w:space="0"/>
              <w:right w:val="single" w:color="auto" w:sz="4" w:space="0"/>
            </w:tcBorders>
            <w:noWrap/>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p>
        </w:tc>
        <w:tc>
          <w:tcPr>
            <w:tcW w:w="1418" w:type="dxa"/>
            <w:tcBorders>
              <w:top w:val="nil"/>
              <w:left w:val="single" w:color="auto" w:sz="4" w:space="0"/>
              <w:bottom w:val="single" w:color="auto" w:sz="4" w:space="0"/>
              <w:right w:val="single" w:color="auto" w:sz="4" w:space="0"/>
            </w:tcBorders>
            <w:noWrap/>
            <w:vAlign w:val="center"/>
          </w:tcPr>
          <w:p>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single" w:color="auto" w:sz="4" w:space="0"/>
            </w:tcBorders>
            <w:noWrap/>
            <w:vAlign w:val="center"/>
          </w:tcPr>
          <w:p>
            <w:pPr>
              <w:widowControl/>
              <w:spacing w:line="280" w:lineRule="exact"/>
              <w:jc w:val="left"/>
              <w:textAlignment w:val="center"/>
              <w:rPr>
                <w:rFonts w:ascii="仿宋_GB2312" w:hAnsi="宋体" w:eastAsia="仿宋_GB2312" w:cs="宋体"/>
                <w:kern w:val="0"/>
                <w:sz w:val="18"/>
                <w:szCs w:val="18"/>
                <w:lang w:bidi="ar"/>
              </w:rPr>
            </w:pPr>
          </w:p>
        </w:tc>
        <w:tc>
          <w:tcPr>
            <w:tcW w:w="1559" w:type="dxa"/>
            <w:tcBorders>
              <w:top w:val="nil"/>
              <w:left w:val="nil"/>
              <w:bottom w:val="single" w:color="auto" w:sz="4" w:space="0"/>
              <w:right w:val="single" w:color="auto" w:sz="4" w:space="0"/>
            </w:tcBorders>
            <w:noWrap/>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65" w:hRule="atLeast"/>
        </w:trPr>
        <w:tc>
          <w:tcPr>
            <w:tcW w:w="2425" w:type="dxa"/>
            <w:tcBorders>
              <w:top w:val="nil"/>
              <w:left w:val="single" w:color="auto" w:sz="4" w:space="0"/>
              <w:bottom w:val="single" w:color="auto" w:sz="4" w:space="0"/>
              <w:right w:val="nil"/>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收  入  总  计</w:t>
            </w:r>
          </w:p>
        </w:tc>
        <w:tc>
          <w:tcPr>
            <w:tcW w:w="1418"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415.09</w:t>
            </w:r>
          </w:p>
        </w:tc>
        <w:tc>
          <w:tcPr>
            <w:tcW w:w="3260" w:type="dxa"/>
            <w:tcBorders>
              <w:top w:val="nil"/>
              <w:left w:val="nil"/>
              <w:bottom w:val="single" w:color="auto" w:sz="4" w:space="0"/>
              <w:right w:val="nil"/>
            </w:tcBorders>
            <w:noWrap/>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  出  总  计</w:t>
            </w:r>
          </w:p>
        </w:tc>
        <w:tc>
          <w:tcPr>
            <w:tcW w:w="1559" w:type="dxa"/>
            <w:tcBorders>
              <w:top w:val="nil"/>
              <w:left w:val="single" w:color="auto" w:sz="4" w:space="0"/>
              <w:bottom w:val="single" w:color="auto" w:sz="4" w:space="0"/>
              <w:right w:val="single" w:color="auto" w:sz="4" w:space="0"/>
            </w:tcBorders>
            <w:noWrap/>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415.09</w:t>
            </w:r>
          </w:p>
        </w:tc>
      </w:tr>
    </w:tbl>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表二：</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部门（单位）收入总体情况表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编制部门（单位）：昌吉州商务局                               单位：万元</w:t>
      </w:r>
    </w:p>
    <w:tbl>
      <w:tblPr>
        <w:tblStyle w:val="6"/>
        <w:tblW w:w="8946" w:type="dxa"/>
        <w:tblInd w:w="-450" w:type="dxa"/>
        <w:tblLayout w:type="fixed"/>
        <w:tblCellMar>
          <w:top w:w="0" w:type="dxa"/>
          <w:left w:w="108" w:type="dxa"/>
          <w:bottom w:w="0" w:type="dxa"/>
          <w:right w:w="108" w:type="dxa"/>
        </w:tblCellMar>
      </w:tblPr>
      <w:tblGrid>
        <w:gridCol w:w="558"/>
        <w:gridCol w:w="426"/>
        <w:gridCol w:w="567"/>
        <w:gridCol w:w="1845"/>
        <w:gridCol w:w="1018"/>
        <w:gridCol w:w="850"/>
        <w:gridCol w:w="709"/>
        <w:gridCol w:w="921"/>
        <w:gridCol w:w="660"/>
        <w:gridCol w:w="708"/>
        <w:gridCol w:w="684"/>
      </w:tblGrid>
      <w:tr>
        <w:tblPrEx>
          <w:tblLayout w:type="fixed"/>
          <w:tblCellMar>
            <w:top w:w="0" w:type="dxa"/>
            <w:left w:w="108" w:type="dxa"/>
            <w:bottom w:w="0" w:type="dxa"/>
            <w:right w:w="108" w:type="dxa"/>
          </w:tblCellMar>
        </w:tblPrEx>
        <w:trPr>
          <w:trHeight w:val="510" w:hRule="atLeast"/>
        </w:trPr>
        <w:tc>
          <w:tcPr>
            <w:tcW w:w="155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功能分类科目编码</w:t>
            </w:r>
          </w:p>
        </w:tc>
        <w:tc>
          <w:tcPr>
            <w:tcW w:w="1845"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功能分类科目名称</w:t>
            </w:r>
          </w:p>
        </w:tc>
        <w:tc>
          <w:tcPr>
            <w:tcW w:w="1018"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总  计</w:t>
            </w:r>
          </w:p>
        </w:tc>
        <w:tc>
          <w:tcPr>
            <w:tcW w:w="85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一般公共预算拨款</w:t>
            </w:r>
          </w:p>
        </w:tc>
        <w:tc>
          <w:tcPr>
            <w:tcW w:w="709"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政府性基金预算拨款</w:t>
            </w:r>
          </w:p>
        </w:tc>
        <w:tc>
          <w:tcPr>
            <w:tcW w:w="921"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财政专户（教育收费）</w:t>
            </w:r>
          </w:p>
        </w:tc>
        <w:tc>
          <w:tcPr>
            <w:tcW w:w="66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事业收入</w:t>
            </w:r>
          </w:p>
        </w:tc>
        <w:tc>
          <w:tcPr>
            <w:tcW w:w="708"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事业单位经营收入</w:t>
            </w:r>
          </w:p>
        </w:tc>
        <w:tc>
          <w:tcPr>
            <w:tcW w:w="684"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单位其他资金收入</w:t>
            </w:r>
          </w:p>
        </w:tc>
      </w:tr>
      <w:tr>
        <w:tblPrEx>
          <w:tblLayout w:type="fixed"/>
          <w:tblCellMar>
            <w:top w:w="0" w:type="dxa"/>
            <w:left w:w="108" w:type="dxa"/>
            <w:bottom w:w="0" w:type="dxa"/>
            <w:right w:w="108" w:type="dxa"/>
          </w:tblCellMar>
        </w:tblPrEx>
        <w:trPr>
          <w:trHeight w:val="1894"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类</w:t>
            </w: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款</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项</w:t>
            </w:r>
          </w:p>
        </w:tc>
        <w:tc>
          <w:tcPr>
            <w:tcW w:w="1845"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1018"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85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709"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921"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66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708"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684"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201</w:t>
            </w:r>
          </w:p>
        </w:tc>
        <w:tc>
          <w:tcPr>
            <w:tcW w:w="426"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13</w:t>
            </w:r>
          </w:p>
        </w:tc>
        <w:tc>
          <w:tcPr>
            <w:tcW w:w="56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01</w:t>
            </w:r>
          </w:p>
        </w:tc>
        <w:tc>
          <w:tcPr>
            <w:tcW w:w="184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行政运行</w:t>
            </w:r>
          </w:p>
        </w:tc>
        <w:tc>
          <w:tcPr>
            <w:tcW w:w="1018" w:type="dxa"/>
            <w:tcBorders>
              <w:top w:val="nil"/>
              <w:left w:val="nil"/>
              <w:bottom w:val="single" w:color="auto" w:sz="4" w:space="0"/>
              <w:right w:val="single" w:color="auto" w:sz="4" w:space="0"/>
            </w:tcBorders>
            <w:shd w:val="clear" w:color="000000" w:fill="FFFFFF"/>
            <w:noWrap/>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315.25</w:t>
            </w:r>
          </w:p>
        </w:tc>
        <w:tc>
          <w:tcPr>
            <w:tcW w:w="850" w:type="dxa"/>
            <w:tcBorders>
              <w:top w:val="nil"/>
              <w:left w:val="nil"/>
              <w:bottom w:val="single" w:color="auto" w:sz="4" w:space="0"/>
              <w:right w:val="single" w:color="auto" w:sz="4" w:space="0"/>
            </w:tcBorders>
            <w:shd w:val="clear" w:color="000000" w:fill="FFFFFF"/>
            <w:noWrap/>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315.25</w:t>
            </w:r>
          </w:p>
        </w:tc>
        <w:tc>
          <w:tcPr>
            <w:tcW w:w="709" w:type="dxa"/>
            <w:tcBorders>
              <w:top w:val="nil"/>
              <w:left w:val="nil"/>
              <w:bottom w:val="single" w:color="auto" w:sz="4" w:space="0"/>
              <w:right w:val="single" w:color="auto" w:sz="4" w:space="0"/>
            </w:tcBorders>
            <w:shd w:val="clear" w:color="000000" w:fill="FFFFFF"/>
            <w:noWrap/>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shd w:val="clear" w:color="000000" w:fill="FFFFFF"/>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shd w:val="clear" w:color="000000" w:fill="FFFFFF"/>
            <w:noWrap/>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shd w:val="clear" w:color="000000" w:fill="FFFFFF"/>
            <w:noWrap/>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shd w:val="clear" w:color="000000" w:fill="FFFFFF"/>
            <w:noWrap/>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208</w:t>
            </w: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05</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05</w:t>
            </w: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机关事业单位基本养老保险缴费支出</w:t>
            </w: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31.85</w:t>
            </w: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31.85</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11</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03</w:t>
            </w: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公务员医疗补助</w:t>
            </w: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7.99</w:t>
            </w: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7.99</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201</w:t>
            </w: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13</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08</w:t>
            </w: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招商引资</w:t>
            </w: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10</w:t>
            </w: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10</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201</w:t>
            </w: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13</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99</w:t>
            </w:r>
          </w:p>
        </w:tc>
        <w:tc>
          <w:tcPr>
            <w:tcW w:w="1845" w:type="dxa"/>
            <w:tcBorders>
              <w:top w:val="nil"/>
              <w:left w:val="nil"/>
              <w:bottom w:val="single" w:color="auto" w:sz="4" w:space="0"/>
              <w:right w:val="single" w:color="auto" w:sz="4" w:space="0"/>
            </w:tcBorders>
            <w:vAlign w:val="center"/>
          </w:tcPr>
          <w:p>
            <w:pPr>
              <w:tabs>
                <w:tab w:val="left" w:pos="402"/>
              </w:tabs>
              <w:jc w:val="left"/>
              <w:rPr>
                <w:rFonts w:ascii="仿宋_GB2312" w:hAnsi="宋体" w:eastAsia="仿宋_GB2312" w:cs="宋体"/>
                <w:color w:val="000000"/>
                <w:sz w:val="18"/>
                <w:szCs w:val="18"/>
              </w:rPr>
            </w:pPr>
            <w:r>
              <w:rPr>
                <w:rFonts w:hint="eastAsia" w:ascii="仿宋_GB2312" w:hAnsi="宋体" w:eastAsia="仿宋_GB2312" w:cs="宋体"/>
                <w:color w:val="000000"/>
                <w:sz w:val="18"/>
                <w:szCs w:val="18"/>
              </w:rPr>
              <w:t>其他商贸事务支出</w:t>
            </w: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50</w:t>
            </w: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50</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eastAsia="仿宋_GB2312"/>
                <w:b/>
                <w:bCs/>
                <w:color w:val="000000"/>
                <w:sz w:val="18"/>
                <w:szCs w:val="18"/>
              </w:rPr>
              <w:t>合  计</w:t>
            </w: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415.09</w:t>
            </w: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415.09</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bl>
    <w:p>
      <w:pPr>
        <w:widowControl/>
        <w:spacing w:line="360" w:lineRule="exact"/>
        <w:jc w:val="left"/>
        <w:outlineLvl w:val="1"/>
        <w:rPr>
          <w:rFonts w:ascii="仿宋_GB2312" w:hAnsi="宋体" w:eastAsia="仿宋_GB2312"/>
          <w:b/>
          <w:kern w:val="0"/>
          <w:sz w:val="32"/>
          <w:szCs w:val="32"/>
        </w:rPr>
      </w:pPr>
    </w:p>
    <w:p>
      <w:pPr>
        <w:widowControl/>
        <w:spacing w:line="360" w:lineRule="exact"/>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表三：</w:t>
      </w:r>
    </w:p>
    <w:p>
      <w:pPr>
        <w:widowControl/>
        <w:spacing w:line="36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部门（单位）支出总体情况表</w:t>
      </w:r>
    </w:p>
    <w:p>
      <w:pPr>
        <w:widowControl/>
        <w:spacing w:line="280" w:lineRule="exact"/>
        <w:jc w:val="center"/>
        <w:outlineLvl w:val="1"/>
        <w:rPr>
          <w:rFonts w:ascii="仿宋_GB2312" w:hAnsi="宋体" w:eastAsia="仿宋_GB2312"/>
          <w:b/>
          <w:kern w:val="0"/>
          <w:sz w:val="32"/>
          <w:szCs w:val="32"/>
        </w:rPr>
      </w:pPr>
    </w:p>
    <w:p>
      <w:pPr>
        <w:widowControl/>
        <w:spacing w:line="280" w:lineRule="exact"/>
        <w:jc w:val="left"/>
        <w:outlineLvl w:val="1"/>
        <w:rPr>
          <w:rFonts w:ascii="仿宋_GB2312" w:hAnsi="宋体" w:eastAsia="仿宋_GB2312"/>
          <w:kern w:val="0"/>
          <w:sz w:val="24"/>
        </w:rPr>
      </w:pPr>
      <w:r>
        <w:rPr>
          <w:rFonts w:hint="eastAsia" w:ascii="仿宋_GB2312" w:hAnsi="宋体" w:eastAsia="仿宋_GB2312"/>
          <w:kern w:val="0"/>
          <w:sz w:val="24"/>
        </w:rPr>
        <w:t>编制部门（单位）：昌吉州商务局                               单位：万元</w:t>
      </w:r>
    </w:p>
    <w:tbl>
      <w:tblPr>
        <w:tblStyle w:val="6"/>
        <w:tblW w:w="9420" w:type="dxa"/>
        <w:tblInd w:w="-240" w:type="dxa"/>
        <w:tblLayout w:type="fixed"/>
        <w:tblCellMar>
          <w:top w:w="0" w:type="dxa"/>
          <w:left w:w="108" w:type="dxa"/>
          <w:bottom w:w="0" w:type="dxa"/>
          <w:right w:w="108" w:type="dxa"/>
        </w:tblCellMar>
      </w:tblPr>
      <w:tblGrid>
        <w:gridCol w:w="486"/>
        <w:gridCol w:w="400"/>
        <w:gridCol w:w="400"/>
        <w:gridCol w:w="2574"/>
        <w:gridCol w:w="1840"/>
        <w:gridCol w:w="1836"/>
        <w:gridCol w:w="1884"/>
      </w:tblGrid>
      <w:tr>
        <w:tblPrEx>
          <w:tblLayout w:type="fixed"/>
          <w:tblCellMar>
            <w:top w:w="0" w:type="dxa"/>
            <w:left w:w="108" w:type="dxa"/>
            <w:bottom w:w="0" w:type="dxa"/>
            <w:right w:w="108" w:type="dxa"/>
          </w:tblCellMar>
        </w:tblPrEx>
        <w:trPr>
          <w:trHeight w:val="345" w:hRule="atLeast"/>
        </w:trPr>
        <w:tc>
          <w:tcPr>
            <w:tcW w:w="3860"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项    目</w:t>
            </w:r>
          </w:p>
        </w:tc>
        <w:tc>
          <w:tcPr>
            <w:tcW w:w="5560" w:type="dxa"/>
            <w:gridSpan w:val="3"/>
            <w:tcBorders>
              <w:top w:val="single" w:color="auto" w:sz="4" w:space="0"/>
              <w:left w:val="nil"/>
              <w:bottom w:val="single" w:color="auto" w:sz="4" w:space="0"/>
              <w:right w:val="single" w:color="000000"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支出预算</w:t>
            </w:r>
          </w:p>
        </w:tc>
      </w:tr>
      <w:tr>
        <w:tblPrEx>
          <w:tblLayout w:type="fixed"/>
          <w:tblCellMar>
            <w:top w:w="0" w:type="dxa"/>
            <w:left w:w="108" w:type="dxa"/>
            <w:bottom w:w="0" w:type="dxa"/>
            <w:right w:w="108" w:type="dxa"/>
          </w:tblCellMar>
        </w:tblPrEx>
        <w:trPr>
          <w:trHeight w:val="480" w:hRule="atLeast"/>
        </w:trPr>
        <w:tc>
          <w:tcPr>
            <w:tcW w:w="1286"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57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功能分类科目名称</w:t>
            </w:r>
          </w:p>
        </w:tc>
        <w:tc>
          <w:tcPr>
            <w:tcW w:w="1840"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合  计</w:t>
            </w:r>
          </w:p>
        </w:tc>
        <w:tc>
          <w:tcPr>
            <w:tcW w:w="1836"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基本支出</w:t>
            </w:r>
          </w:p>
        </w:tc>
        <w:tc>
          <w:tcPr>
            <w:tcW w:w="188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项目支出</w:t>
            </w:r>
          </w:p>
        </w:tc>
      </w:tr>
      <w:tr>
        <w:tblPrEx>
          <w:tblLayout w:type="fixed"/>
          <w:tblCellMar>
            <w:top w:w="0" w:type="dxa"/>
            <w:left w:w="108" w:type="dxa"/>
            <w:bottom w:w="0" w:type="dxa"/>
            <w:right w:w="108" w:type="dxa"/>
          </w:tblCellMar>
        </w:tblPrEx>
        <w:trPr>
          <w:trHeight w:val="270" w:hRule="atLeast"/>
        </w:trPr>
        <w:tc>
          <w:tcPr>
            <w:tcW w:w="48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类</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款</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项</w:t>
            </w:r>
          </w:p>
        </w:tc>
        <w:tc>
          <w:tcPr>
            <w:tcW w:w="257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18"/>
                <w:szCs w:val="18"/>
              </w:rPr>
            </w:pPr>
          </w:p>
        </w:tc>
        <w:tc>
          <w:tcPr>
            <w:tcW w:w="1840"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18"/>
                <w:szCs w:val="18"/>
              </w:rPr>
            </w:pPr>
          </w:p>
        </w:tc>
        <w:tc>
          <w:tcPr>
            <w:tcW w:w="1836"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18"/>
                <w:szCs w:val="18"/>
              </w:rPr>
            </w:pPr>
          </w:p>
        </w:tc>
        <w:tc>
          <w:tcPr>
            <w:tcW w:w="188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ascii="仿宋_GB2312" w:hAnsi="宋体" w:eastAsia="仿宋_GB2312" w:cs="宋体"/>
                <w:color w:val="000000"/>
                <w:sz w:val="18"/>
                <w:szCs w:val="18"/>
              </w:rPr>
              <w:t>201</w:t>
            </w: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ascii="仿宋_GB2312" w:hAnsi="宋体" w:eastAsia="仿宋_GB2312" w:cs="宋体"/>
                <w:color w:val="000000"/>
                <w:sz w:val="18"/>
                <w:szCs w:val="18"/>
              </w:rPr>
              <w:t>13</w:t>
            </w: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ascii="仿宋_GB2312" w:hAnsi="宋体" w:eastAsia="仿宋_GB2312" w:cs="宋体"/>
                <w:color w:val="000000"/>
                <w:sz w:val="18"/>
                <w:szCs w:val="18"/>
              </w:rPr>
              <w:t>01</w:t>
            </w:r>
          </w:p>
        </w:tc>
        <w:tc>
          <w:tcPr>
            <w:tcW w:w="2574"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行政运行</w:t>
            </w:r>
          </w:p>
        </w:tc>
        <w:tc>
          <w:tcPr>
            <w:tcW w:w="184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315.25</w:t>
            </w:r>
          </w:p>
        </w:tc>
        <w:tc>
          <w:tcPr>
            <w:tcW w:w="183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315.25</w:t>
            </w:r>
          </w:p>
        </w:tc>
        <w:tc>
          <w:tcPr>
            <w:tcW w:w="188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ascii="仿宋_GB2312" w:hAnsi="宋体" w:eastAsia="仿宋_GB2312" w:cs="宋体"/>
                <w:color w:val="000000"/>
                <w:sz w:val="18"/>
                <w:szCs w:val="18"/>
              </w:rPr>
              <w:t>208</w:t>
            </w: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ascii="仿宋_GB2312" w:hAnsi="宋体" w:eastAsia="仿宋_GB2312" w:cs="宋体"/>
                <w:color w:val="000000"/>
                <w:sz w:val="18"/>
                <w:szCs w:val="18"/>
              </w:rPr>
              <w:t>05</w:t>
            </w: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ascii="仿宋_GB2312" w:hAnsi="宋体" w:eastAsia="仿宋_GB2312" w:cs="宋体"/>
                <w:color w:val="000000"/>
                <w:sz w:val="18"/>
                <w:szCs w:val="18"/>
              </w:rPr>
              <w:t>05</w:t>
            </w:r>
          </w:p>
        </w:tc>
        <w:tc>
          <w:tcPr>
            <w:tcW w:w="2574"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机关事业单位基本养老保险缴费支出</w:t>
            </w:r>
          </w:p>
        </w:tc>
        <w:tc>
          <w:tcPr>
            <w:tcW w:w="184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31.85</w:t>
            </w:r>
          </w:p>
        </w:tc>
        <w:tc>
          <w:tcPr>
            <w:tcW w:w="183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31.85</w:t>
            </w:r>
          </w:p>
        </w:tc>
        <w:tc>
          <w:tcPr>
            <w:tcW w:w="188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210</w:t>
            </w: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11</w:t>
            </w: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03</w:t>
            </w:r>
          </w:p>
        </w:tc>
        <w:tc>
          <w:tcPr>
            <w:tcW w:w="2574"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公务员医疗补助</w:t>
            </w:r>
          </w:p>
        </w:tc>
        <w:tc>
          <w:tcPr>
            <w:tcW w:w="184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7.99</w:t>
            </w:r>
          </w:p>
        </w:tc>
        <w:tc>
          <w:tcPr>
            <w:tcW w:w="183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7.99</w:t>
            </w:r>
          </w:p>
        </w:tc>
        <w:tc>
          <w:tcPr>
            <w:tcW w:w="188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ascii="仿宋_GB2312" w:hAnsi="宋体" w:eastAsia="仿宋_GB2312" w:cs="宋体"/>
                <w:color w:val="000000"/>
                <w:sz w:val="18"/>
                <w:szCs w:val="18"/>
              </w:rPr>
              <w:t>201</w:t>
            </w: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ascii="仿宋_GB2312" w:hAnsi="宋体" w:eastAsia="仿宋_GB2312" w:cs="宋体"/>
                <w:color w:val="000000"/>
                <w:sz w:val="18"/>
                <w:szCs w:val="18"/>
              </w:rPr>
              <w:t>13</w:t>
            </w: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ascii="仿宋_GB2312" w:hAnsi="宋体" w:eastAsia="仿宋_GB2312" w:cs="宋体"/>
                <w:color w:val="000000"/>
                <w:sz w:val="18"/>
                <w:szCs w:val="18"/>
              </w:rPr>
              <w:t>08</w:t>
            </w:r>
          </w:p>
        </w:tc>
        <w:tc>
          <w:tcPr>
            <w:tcW w:w="2574"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招商引资</w:t>
            </w:r>
          </w:p>
        </w:tc>
        <w:tc>
          <w:tcPr>
            <w:tcW w:w="184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10</w:t>
            </w:r>
          </w:p>
        </w:tc>
        <w:tc>
          <w:tcPr>
            <w:tcW w:w="183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8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10</w:t>
            </w:r>
          </w:p>
        </w:tc>
      </w:tr>
      <w:tr>
        <w:tblPrEx>
          <w:tblLayout w:type="fixed"/>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201</w:t>
            </w: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13</w:t>
            </w: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99</w:t>
            </w:r>
          </w:p>
        </w:tc>
        <w:tc>
          <w:tcPr>
            <w:tcW w:w="2574" w:type="dxa"/>
            <w:tcBorders>
              <w:top w:val="nil"/>
              <w:left w:val="nil"/>
              <w:bottom w:val="single" w:color="auto" w:sz="4" w:space="0"/>
              <w:right w:val="single" w:color="auto" w:sz="4" w:space="0"/>
            </w:tcBorders>
            <w:vAlign w:val="center"/>
          </w:tcPr>
          <w:p>
            <w:pPr>
              <w:tabs>
                <w:tab w:val="left" w:pos="402"/>
              </w:tabs>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其他商贸事务支出</w:t>
            </w:r>
          </w:p>
        </w:tc>
        <w:tc>
          <w:tcPr>
            <w:tcW w:w="184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50</w:t>
            </w:r>
          </w:p>
        </w:tc>
        <w:tc>
          <w:tcPr>
            <w:tcW w:w="183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8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50</w:t>
            </w:r>
          </w:p>
        </w:tc>
      </w:tr>
      <w:tr>
        <w:tblPrEx>
          <w:tblLayout w:type="fixed"/>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210</w:t>
            </w:r>
          </w:p>
        </w:tc>
        <w:tc>
          <w:tcPr>
            <w:tcW w:w="40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11</w:t>
            </w:r>
          </w:p>
        </w:tc>
        <w:tc>
          <w:tcPr>
            <w:tcW w:w="40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01</w:t>
            </w:r>
          </w:p>
        </w:tc>
        <w:tc>
          <w:tcPr>
            <w:tcW w:w="257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行政单位医疗</w:t>
            </w:r>
          </w:p>
        </w:tc>
        <w:tc>
          <w:tcPr>
            <w:tcW w:w="184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24.97</w:t>
            </w:r>
          </w:p>
        </w:tc>
        <w:tc>
          <w:tcPr>
            <w:tcW w:w="183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24.97</w:t>
            </w:r>
          </w:p>
        </w:tc>
        <w:tc>
          <w:tcPr>
            <w:tcW w:w="188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7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4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3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8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7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4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3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8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7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4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3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8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7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4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3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8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7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4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3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8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7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4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3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8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7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4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3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8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7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4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3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8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7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4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3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8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7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4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3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8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7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4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3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8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7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4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3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8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7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4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3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8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7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4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3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8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7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4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3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8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7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4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3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8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400"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7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rPr>
              <w:t>合  计</w:t>
            </w:r>
          </w:p>
        </w:tc>
        <w:tc>
          <w:tcPr>
            <w:tcW w:w="184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415.09</w:t>
            </w:r>
          </w:p>
        </w:tc>
        <w:tc>
          <w:tcPr>
            <w:tcW w:w="183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355.09</w:t>
            </w:r>
          </w:p>
        </w:tc>
        <w:tc>
          <w:tcPr>
            <w:tcW w:w="188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60</w:t>
            </w:r>
          </w:p>
        </w:tc>
      </w:tr>
    </w:tbl>
    <w:p>
      <w:pPr>
        <w:widowControl/>
        <w:spacing w:before="120" w:beforeLines="50" w:line="280" w:lineRule="exact"/>
        <w:outlineLvl w:val="1"/>
        <w:rPr>
          <w:rFonts w:ascii="仿宋_GB2312" w:hAnsi="宋体" w:eastAsia="仿宋_GB2312"/>
          <w:b/>
          <w:kern w:val="0"/>
          <w:sz w:val="32"/>
          <w:szCs w:val="32"/>
        </w:rPr>
      </w:pPr>
    </w:p>
    <w:p>
      <w:pPr>
        <w:widowControl/>
        <w:spacing w:before="120" w:beforeLines="50" w:line="28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表四：</w:t>
      </w:r>
    </w:p>
    <w:p>
      <w:pPr>
        <w:widowControl/>
        <w:spacing w:before="120" w:beforeLines="50" w:line="280" w:lineRule="exact"/>
        <w:jc w:val="center"/>
        <w:outlineLvl w:val="1"/>
        <w:rPr>
          <w:rFonts w:ascii="仿宋_GB2312" w:hAnsi="宋体" w:eastAsia="仿宋_GB2312"/>
          <w:b/>
          <w:color w:val="000000" w:themeColor="text1"/>
          <w:kern w:val="0"/>
          <w:sz w:val="32"/>
          <w:szCs w:val="32"/>
          <w14:textFill>
            <w14:solidFill>
              <w14:schemeClr w14:val="tx1"/>
            </w14:solidFill>
          </w14:textFill>
        </w:rPr>
      </w:pPr>
      <w:r>
        <w:rPr>
          <w:rFonts w:hint="eastAsia" w:ascii="仿宋_GB2312" w:hAnsi="宋体" w:eastAsia="仿宋_GB2312"/>
          <w:b/>
          <w:color w:val="000000" w:themeColor="text1"/>
          <w:kern w:val="0"/>
          <w:sz w:val="32"/>
          <w:szCs w:val="32"/>
          <w14:textFill>
            <w14:solidFill>
              <w14:schemeClr w14:val="tx1"/>
            </w14:solidFill>
          </w14:textFill>
        </w:rPr>
        <w:t>财政拨款收支预算总体情况表</w:t>
      </w:r>
    </w:p>
    <w:p>
      <w:pPr>
        <w:widowControl/>
        <w:spacing w:before="120" w:beforeLines="50" w:line="280" w:lineRule="exact"/>
        <w:outlineLvl w:val="1"/>
        <w:rPr>
          <w:rFonts w:ascii="仿宋_GB2312" w:hAnsi="宋体" w:eastAsia="仿宋_GB2312"/>
          <w:kern w:val="0"/>
          <w:szCs w:val="21"/>
        </w:rPr>
      </w:pPr>
      <w:r>
        <w:rPr>
          <w:rFonts w:hint="eastAsia" w:ascii="仿宋_GB2312" w:hAnsi="宋体" w:eastAsia="仿宋_GB2312"/>
          <w:color w:val="000000" w:themeColor="text1"/>
          <w:kern w:val="0"/>
          <w:szCs w:val="21"/>
          <w14:textFill>
            <w14:solidFill>
              <w14:schemeClr w14:val="tx1"/>
            </w14:solidFill>
          </w14:textFill>
        </w:rPr>
        <w:t xml:space="preserve">编制部门（单位）：昌吉州商务局                          </w:t>
      </w:r>
      <w:r>
        <w:rPr>
          <w:rFonts w:hint="eastAsia" w:ascii="仿宋_GB2312" w:hAnsi="宋体" w:eastAsia="仿宋_GB2312"/>
          <w:kern w:val="0"/>
          <w:szCs w:val="21"/>
        </w:rPr>
        <w:t xml:space="preserve">         单位：万元</w:t>
      </w:r>
    </w:p>
    <w:tbl>
      <w:tblPr>
        <w:tblStyle w:val="6"/>
        <w:tblW w:w="10583" w:type="dxa"/>
        <w:tblInd w:w="-240" w:type="dxa"/>
        <w:tblLayout w:type="fixed"/>
        <w:tblCellMar>
          <w:top w:w="0" w:type="dxa"/>
          <w:left w:w="108" w:type="dxa"/>
          <w:bottom w:w="0" w:type="dxa"/>
          <w:right w:w="108" w:type="dxa"/>
        </w:tblCellMar>
      </w:tblPr>
      <w:tblGrid>
        <w:gridCol w:w="1908"/>
        <w:gridCol w:w="1134"/>
        <w:gridCol w:w="2388"/>
        <w:gridCol w:w="900"/>
        <w:gridCol w:w="964"/>
        <w:gridCol w:w="1021"/>
        <w:gridCol w:w="1134"/>
        <w:gridCol w:w="1134"/>
      </w:tblGrid>
      <w:tr>
        <w:tblPrEx>
          <w:tblLayout w:type="fixed"/>
          <w:tblCellMar>
            <w:top w:w="0" w:type="dxa"/>
            <w:left w:w="108" w:type="dxa"/>
            <w:bottom w:w="0" w:type="dxa"/>
            <w:right w:w="108" w:type="dxa"/>
          </w:tblCellMar>
        </w:tblPrEx>
        <w:trPr>
          <w:gridAfter w:val="1"/>
          <w:wAfter w:w="1134" w:type="dxa"/>
          <w:trHeight w:val="285" w:hRule="atLeast"/>
        </w:trPr>
        <w:tc>
          <w:tcPr>
            <w:tcW w:w="3042" w:type="dxa"/>
            <w:gridSpan w:val="2"/>
            <w:tcBorders>
              <w:top w:val="single" w:color="auto" w:sz="4" w:space="0"/>
              <w:left w:val="single" w:color="auto" w:sz="4" w:space="0"/>
              <w:bottom w:val="single" w:color="auto" w:sz="4" w:space="0"/>
              <w:right w:val="single" w:color="000000" w:sz="4" w:space="0"/>
            </w:tcBorders>
            <w:noWrap/>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6407" w:type="dxa"/>
            <w:gridSpan w:val="5"/>
            <w:tcBorders>
              <w:top w:val="single" w:color="auto" w:sz="4" w:space="0"/>
              <w:left w:val="nil"/>
              <w:bottom w:val="single" w:color="auto" w:sz="4" w:space="0"/>
              <w:right w:val="single" w:color="000000" w:sz="4" w:space="0"/>
            </w:tcBorders>
            <w:noWrap/>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r>
      <w:tr>
        <w:tblPrEx>
          <w:tblLayout w:type="fixed"/>
          <w:tblCellMar>
            <w:top w:w="0" w:type="dxa"/>
            <w:left w:w="108" w:type="dxa"/>
            <w:bottom w:w="0" w:type="dxa"/>
            <w:right w:w="108" w:type="dxa"/>
          </w:tblCellMar>
        </w:tblPrEx>
        <w:trPr>
          <w:gridAfter w:val="1"/>
          <w:wAfter w:w="1134" w:type="dxa"/>
          <w:trHeight w:val="766" w:hRule="atLeas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13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238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  能  分  类</w:t>
            </w:r>
          </w:p>
        </w:tc>
        <w:tc>
          <w:tcPr>
            <w:tcW w:w="9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96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02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c>
          <w:tcPr>
            <w:tcW w:w="113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国有资本经营预算</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415.09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350.28</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350.28</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一般公共预算</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415.09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ind w:firstLine="90" w:firstLineChars="50"/>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政府性基金预算</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ind w:firstLine="90" w:firstLineChars="50"/>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国有资本经营预算</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31.85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31.85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xml:space="preserve">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32.96</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32.96</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234 抗疫特别国债还本支出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收  入  总  计</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415.09</w:t>
            </w:r>
          </w:p>
        </w:tc>
        <w:tc>
          <w:tcPr>
            <w:tcW w:w="2388"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  出  总  计</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415.09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415.09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vAlign w:val="center"/>
          </w:tcPr>
          <w:p>
            <w:pPr>
              <w:widowControl/>
              <w:spacing w:line="280" w:lineRule="exact"/>
              <w:jc w:val="right"/>
              <w:rPr>
                <w:rFonts w:ascii="仿宋_GB2312" w:hAnsi="宋体" w:eastAsia="仿宋_GB2312" w:cs="宋体"/>
                <w:kern w:val="0"/>
                <w:sz w:val="18"/>
                <w:szCs w:val="18"/>
              </w:rPr>
            </w:pPr>
          </w:p>
        </w:tc>
      </w:tr>
    </w:tbl>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表五：</w:t>
      </w:r>
    </w:p>
    <w:tbl>
      <w:tblPr>
        <w:tblStyle w:val="6"/>
        <w:tblW w:w="9214" w:type="dxa"/>
        <w:tblInd w:w="-34" w:type="dxa"/>
        <w:tblLayout w:type="fixed"/>
        <w:tblCellMar>
          <w:top w:w="0" w:type="dxa"/>
          <w:left w:w="108" w:type="dxa"/>
          <w:bottom w:w="0" w:type="dxa"/>
          <w:right w:w="108" w:type="dxa"/>
        </w:tblCellMar>
      </w:tblPr>
      <w:tblGrid>
        <w:gridCol w:w="568"/>
        <w:gridCol w:w="492"/>
        <w:gridCol w:w="417"/>
        <w:gridCol w:w="2510"/>
        <w:gridCol w:w="660"/>
        <w:gridCol w:w="1024"/>
        <w:gridCol w:w="216"/>
        <w:gridCol w:w="1626"/>
        <w:gridCol w:w="1701"/>
      </w:tblGrid>
      <w:tr>
        <w:tblPrEx>
          <w:tblLayout w:type="fixed"/>
          <w:tblCellMar>
            <w:top w:w="0" w:type="dxa"/>
            <w:left w:w="108" w:type="dxa"/>
            <w:bottom w:w="0" w:type="dxa"/>
            <w:right w:w="108" w:type="dxa"/>
          </w:tblCellMar>
        </w:tblPrEx>
        <w:trPr>
          <w:trHeight w:val="450" w:hRule="atLeast"/>
        </w:trPr>
        <w:tc>
          <w:tcPr>
            <w:tcW w:w="9214" w:type="dxa"/>
            <w:gridSpan w:val="9"/>
            <w:tcBorders>
              <w:top w:val="nil"/>
              <w:left w:val="nil"/>
              <w:bottom w:val="nil"/>
              <w:right w:val="nil"/>
            </w:tcBorders>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一般公共预算支出情况表</w:t>
            </w:r>
          </w:p>
        </w:tc>
      </w:tr>
      <w:tr>
        <w:tblPrEx>
          <w:tblLayout w:type="fixed"/>
          <w:tblCellMar>
            <w:top w:w="0" w:type="dxa"/>
            <w:left w:w="108" w:type="dxa"/>
            <w:bottom w:w="0" w:type="dxa"/>
            <w:right w:w="108" w:type="dxa"/>
          </w:tblCellMar>
        </w:tblPrEx>
        <w:trPr>
          <w:trHeight w:val="285" w:hRule="atLeast"/>
        </w:trPr>
        <w:tc>
          <w:tcPr>
            <w:tcW w:w="3987" w:type="dxa"/>
            <w:gridSpan w:val="4"/>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编制部门（单位）：昌吉州商务局</w:t>
            </w:r>
          </w:p>
        </w:tc>
        <w:tc>
          <w:tcPr>
            <w:tcW w:w="660" w:type="dxa"/>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p>
        </w:tc>
        <w:tc>
          <w:tcPr>
            <w:tcW w:w="1240" w:type="dxa"/>
            <w:gridSpan w:val="2"/>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3327" w:type="dxa"/>
            <w:gridSpan w:val="2"/>
            <w:tcBorders>
              <w:top w:val="nil"/>
              <w:left w:val="nil"/>
              <w:bottom w:val="nil"/>
              <w:right w:val="nil"/>
            </w:tcBorders>
            <w:noWrap/>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Layout w:type="fixed"/>
          <w:tblCellMar>
            <w:top w:w="0" w:type="dxa"/>
            <w:left w:w="108" w:type="dxa"/>
            <w:bottom w:w="0" w:type="dxa"/>
            <w:right w:w="108" w:type="dxa"/>
          </w:tblCellMar>
        </w:tblPrEx>
        <w:trPr>
          <w:trHeight w:val="405" w:hRule="atLeast"/>
        </w:trPr>
        <w:tc>
          <w:tcPr>
            <w:tcW w:w="3987" w:type="dxa"/>
            <w:gridSpan w:val="4"/>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   目</w:t>
            </w:r>
          </w:p>
        </w:tc>
        <w:tc>
          <w:tcPr>
            <w:tcW w:w="5227" w:type="dxa"/>
            <w:gridSpan w:val="5"/>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tblPrEx>
          <w:tblLayout w:type="fixed"/>
          <w:tblCellMar>
            <w:top w:w="0" w:type="dxa"/>
            <w:left w:w="108" w:type="dxa"/>
            <w:bottom w:w="0" w:type="dxa"/>
            <w:right w:w="108" w:type="dxa"/>
          </w:tblCellMar>
        </w:tblPrEx>
        <w:trPr>
          <w:trHeight w:val="465" w:hRule="atLeast"/>
        </w:trPr>
        <w:tc>
          <w:tcPr>
            <w:tcW w:w="1477"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510"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684"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合  计</w:t>
            </w:r>
          </w:p>
        </w:tc>
        <w:tc>
          <w:tcPr>
            <w:tcW w:w="1842"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tblPrEx>
          <w:tblLayout w:type="fixed"/>
          <w:tblCellMar>
            <w:top w:w="0" w:type="dxa"/>
            <w:left w:w="108" w:type="dxa"/>
            <w:bottom w:w="0" w:type="dxa"/>
            <w:right w:w="108" w:type="dxa"/>
          </w:tblCellMar>
        </w:tblPrEx>
        <w:trPr>
          <w:trHeight w:val="30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510"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684"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842"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ascii="仿宋_GB2312" w:hAnsi="宋体" w:eastAsia="仿宋_GB2312" w:cs="宋体"/>
                <w:color w:val="000000"/>
                <w:sz w:val="18"/>
                <w:szCs w:val="18"/>
              </w:rPr>
              <w:t>201</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ascii="仿宋_GB2312" w:hAnsi="宋体" w:eastAsia="仿宋_GB2312" w:cs="宋体"/>
                <w:color w:val="000000"/>
                <w:sz w:val="18"/>
                <w:szCs w:val="18"/>
              </w:rPr>
              <w:t>13</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ascii="仿宋_GB2312" w:hAnsi="宋体" w:eastAsia="仿宋_GB2312" w:cs="宋体"/>
                <w:color w:val="000000"/>
                <w:sz w:val="18"/>
                <w:szCs w:val="18"/>
              </w:rPr>
              <w:t>01</w:t>
            </w: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行政运行</w:t>
            </w:r>
          </w:p>
        </w:tc>
        <w:tc>
          <w:tcPr>
            <w:tcW w:w="1684"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315.25</w:t>
            </w:r>
          </w:p>
        </w:tc>
        <w:tc>
          <w:tcPr>
            <w:tcW w:w="1842"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315.25</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ascii="仿宋_GB2312" w:hAnsi="宋体" w:eastAsia="仿宋_GB2312" w:cs="宋体"/>
                <w:color w:val="000000"/>
                <w:sz w:val="18"/>
                <w:szCs w:val="18"/>
              </w:rPr>
              <w:t>208</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ascii="仿宋_GB2312" w:hAnsi="宋体" w:eastAsia="仿宋_GB2312" w:cs="宋体"/>
                <w:color w:val="000000"/>
                <w:sz w:val="18"/>
                <w:szCs w:val="18"/>
              </w:rPr>
              <w:t>05</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ascii="仿宋_GB2312" w:hAnsi="宋体" w:eastAsia="仿宋_GB2312" w:cs="宋体"/>
                <w:color w:val="000000"/>
                <w:sz w:val="18"/>
                <w:szCs w:val="18"/>
              </w:rPr>
              <w:t>05</w:t>
            </w: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机关事业单位基本养老保险缴费支出</w:t>
            </w:r>
          </w:p>
        </w:tc>
        <w:tc>
          <w:tcPr>
            <w:tcW w:w="1684"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31.85</w:t>
            </w:r>
          </w:p>
        </w:tc>
        <w:tc>
          <w:tcPr>
            <w:tcW w:w="1842"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31.85</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210</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11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03</w:t>
            </w: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公务员医疗补助</w:t>
            </w:r>
          </w:p>
        </w:tc>
        <w:tc>
          <w:tcPr>
            <w:tcW w:w="1684"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7.99</w:t>
            </w:r>
          </w:p>
        </w:tc>
        <w:tc>
          <w:tcPr>
            <w:tcW w:w="1842"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7.99</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ascii="仿宋_GB2312" w:hAnsi="宋体" w:eastAsia="仿宋_GB2312" w:cs="宋体"/>
                <w:color w:val="000000"/>
                <w:sz w:val="18"/>
                <w:szCs w:val="18"/>
              </w:rPr>
              <w:t>201</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ascii="仿宋_GB2312" w:hAnsi="宋体" w:eastAsia="仿宋_GB2312" w:cs="宋体"/>
                <w:color w:val="000000"/>
                <w:sz w:val="18"/>
                <w:szCs w:val="18"/>
              </w:rPr>
              <w:t>13</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ascii="仿宋_GB2312" w:hAnsi="宋体" w:eastAsia="仿宋_GB2312" w:cs="宋体"/>
                <w:color w:val="000000"/>
                <w:sz w:val="18"/>
                <w:szCs w:val="18"/>
              </w:rPr>
              <w:t>08</w:t>
            </w: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招商引资</w:t>
            </w:r>
          </w:p>
        </w:tc>
        <w:tc>
          <w:tcPr>
            <w:tcW w:w="1684"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10</w:t>
            </w: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10</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201</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13</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99</w:t>
            </w:r>
          </w:p>
        </w:tc>
        <w:tc>
          <w:tcPr>
            <w:tcW w:w="2510" w:type="dxa"/>
            <w:tcBorders>
              <w:top w:val="nil"/>
              <w:left w:val="nil"/>
              <w:bottom w:val="single" w:color="auto" w:sz="4" w:space="0"/>
              <w:right w:val="single" w:color="auto" w:sz="4" w:space="0"/>
            </w:tcBorders>
            <w:vAlign w:val="center"/>
          </w:tcPr>
          <w:p>
            <w:pPr>
              <w:tabs>
                <w:tab w:val="left" w:pos="402"/>
              </w:tabs>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其他商贸事务支出</w:t>
            </w:r>
          </w:p>
        </w:tc>
        <w:tc>
          <w:tcPr>
            <w:tcW w:w="1684"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50</w:t>
            </w: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50</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210</w:t>
            </w: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11</w:t>
            </w: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01</w:t>
            </w: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行政单位医疗</w:t>
            </w: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24.97</w:t>
            </w: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24.97</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rPr>
              <w:t>合  计</w:t>
            </w: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415.09</w:t>
            </w: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355.09</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60</w:t>
            </w:r>
          </w:p>
        </w:tc>
      </w:tr>
    </w:tbl>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表六：</w:t>
      </w:r>
    </w:p>
    <w:tbl>
      <w:tblPr>
        <w:tblStyle w:val="6"/>
        <w:tblW w:w="9328" w:type="dxa"/>
        <w:tblInd w:w="-148" w:type="dxa"/>
        <w:tblLayout w:type="fixed"/>
        <w:tblCellMar>
          <w:top w:w="0" w:type="dxa"/>
          <w:left w:w="108" w:type="dxa"/>
          <w:bottom w:w="0" w:type="dxa"/>
          <w:right w:w="108" w:type="dxa"/>
        </w:tblCellMar>
      </w:tblPr>
      <w:tblGrid>
        <w:gridCol w:w="757"/>
        <w:gridCol w:w="577"/>
        <w:gridCol w:w="2891"/>
        <w:gridCol w:w="995"/>
        <w:gridCol w:w="607"/>
        <w:gridCol w:w="1075"/>
        <w:gridCol w:w="725"/>
        <w:gridCol w:w="1701"/>
      </w:tblGrid>
      <w:tr>
        <w:tblPrEx>
          <w:tblLayout w:type="fixed"/>
          <w:tblCellMar>
            <w:top w:w="0" w:type="dxa"/>
            <w:left w:w="108" w:type="dxa"/>
            <w:bottom w:w="0" w:type="dxa"/>
            <w:right w:w="108" w:type="dxa"/>
          </w:tblCellMar>
        </w:tblPrEx>
        <w:trPr>
          <w:trHeight w:val="375" w:hRule="atLeast"/>
        </w:trPr>
        <w:tc>
          <w:tcPr>
            <w:tcW w:w="9328" w:type="dxa"/>
            <w:gridSpan w:val="8"/>
            <w:tcBorders>
              <w:top w:val="nil"/>
              <w:left w:val="nil"/>
              <w:bottom w:val="nil"/>
              <w:right w:val="nil"/>
            </w:tcBorders>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一般公共预算基本支出情况表</w:t>
            </w:r>
          </w:p>
        </w:tc>
      </w:tr>
      <w:tr>
        <w:tblPrEx>
          <w:tblLayout w:type="fixed"/>
          <w:tblCellMar>
            <w:top w:w="0" w:type="dxa"/>
            <w:left w:w="108" w:type="dxa"/>
            <w:bottom w:w="0" w:type="dxa"/>
            <w:right w:w="108" w:type="dxa"/>
          </w:tblCellMar>
        </w:tblPrEx>
        <w:trPr>
          <w:trHeight w:val="405" w:hRule="atLeast"/>
        </w:trPr>
        <w:tc>
          <w:tcPr>
            <w:tcW w:w="4225" w:type="dxa"/>
            <w:gridSpan w:val="3"/>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编制部门（单位）：昌吉州商务局</w:t>
            </w:r>
          </w:p>
        </w:tc>
        <w:tc>
          <w:tcPr>
            <w:tcW w:w="995" w:type="dxa"/>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p>
        </w:tc>
        <w:tc>
          <w:tcPr>
            <w:tcW w:w="1682" w:type="dxa"/>
            <w:gridSpan w:val="2"/>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2"/>
            <w:tcBorders>
              <w:top w:val="nil"/>
              <w:left w:val="nil"/>
              <w:bottom w:val="nil"/>
              <w:right w:val="nil"/>
            </w:tcBorders>
            <w:noWrap/>
            <w:vAlign w:val="center"/>
          </w:tcPr>
          <w:p>
            <w:pPr>
              <w:widowControl/>
              <w:ind w:firstLine="720" w:firstLineChars="300"/>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单位：万元</w:t>
            </w:r>
          </w:p>
        </w:tc>
      </w:tr>
      <w:tr>
        <w:tblPrEx>
          <w:tblLayout w:type="fixed"/>
          <w:tblCellMar>
            <w:top w:w="0" w:type="dxa"/>
            <w:left w:w="108" w:type="dxa"/>
            <w:bottom w:w="0" w:type="dxa"/>
            <w:right w:w="108" w:type="dxa"/>
          </w:tblCellMar>
        </w:tblPrEx>
        <w:trPr>
          <w:trHeight w:val="390" w:hRule="atLeast"/>
        </w:trPr>
        <w:tc>
          <w:tcPr>
            <w:tcW w:w="4225"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5103" w:type="dxa"/>
            <w:gridSpan w:val="5"/>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tblPrEx>
          <w:tblLayout w:type="fixed"/>
          <w:tblCellMar>
            <w:top w:w="0" w:type="dxa"/>
            <w:left w:w="108" w:type="dxa"/>
            <w:bottom w:w="0" w:type="dxa"/>
            <w:right w:w="108" w:type="dxa"/>
          </w:tblCellMar>
        </w:tblPrEx>
        <w:trPr>
          <w:trHeight w:val="495" w:hRule="atLeast"/>
        </w:trPr>
        <w:tc>
          <w:tcPr>
            <w:tcW w:w="1334" w:type="dxa"/>
            <w:gridSpan w:val="2"/>
            <w:tcBorders>
              <w:top w:val="single" w:color="auto" w:sz="4" w:space="0"/>
              <w:left w:val="single" w:color="auto" w:sz="4" w:space="0"/>
              <w:bottom w:val="single" w:color="auto" w:sz="4" w:space="0"/>
              <w:right w:val="nil"/>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289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602"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合  计</w:t>
            </w:r>
          </w:p>
        </w:tc>
        <w:tc>
          <w:tcPr>
            <w:tcW w:w="1800"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tblPrEx>
          <w:tblLayout w:type="fixed"/>
          <w:tblCellMar>
            <w:top w:w="0" w:type="dxa"/>
            <w:left w:w="108" w:type="dxa"/>
            <w:bottom w:w="0" w:type="dxa"/>
            <w:right w:w="108" w:type="dxa"/>
          </w:tblCellMar>
        </w:tblPrEx>
        <w:trPr>
          <w:trHeight w:val="270"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289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602"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80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01</w:t>
            </w: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基本工资</w:t>
            </w:r>
          </w:p>
        </w:tc>
        <w:tc>
          <w:tcPr>
            <w:tcW w:w="160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126.72</w:t>
            </w:r>
          </w:p>
        </w:tc>
        <w:tc>
          <w:tcPr>
            <w:tcW w:w="1800"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126.72</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02</w:t>
            </w: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津贴补贴</w:t>
            </w:r>
          </w:p>
        </w:tc>
        <w:tc>
          <w:tcPr>
            <w:tcW w:w="160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63.44</w:t>
            </w:r>
          </w:p>
        </w:tc>
        <w:tc>
          <w:tcPr>
            <w:tcW w:w="1800"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63.44</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02</w:t>
            </w: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津贴补贴</w:t>
            </w:r>
          </w:p>
        </w:tc>
        <w:tc>
          <w:tcPr>
            <w:tcW w:w="160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2.1</w:t>
            </w:r>
          </w:p>
        </w:tc>
        <w:tc>
          <w:tcPr>
            <w:tcW w:w="1800"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2.1</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03</w:t>
            </w: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奖金</w:t>
            </w:r>
          </w:p>
        </w:tc>
        <w:tc>
          <w:tcPr>
            <w:tcW w:w="160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8.93</w:t>
            </w:r>
          </w:p>
        </w:tc>
        <w:tc>
          <w:tcPr>
            <w:tcW w:w="1800"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8.93</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06</w:t>
            </w: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伙食补助费</w:t>
            </w:r>
          </w:p>
        </w:tc>
        <w:tc>
          <w:tcPr>
            <w:tcW w:w="160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27.72</w:t>
            </w:r>
          </w:p>
        </w:tc>
        <w:tc>
          <w:tcPr>
            <w:tcW w:w="1800"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27.72</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13</w:t>
            </w: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住房公积金</w:t>
            </w:r>
          </w:p>
        </w:tc>
        <w:tc>
          <w:tcPr>
            <w:tcW w:w="160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23.89</w:t>
            </w:r>
          </w:p>
        </w:tc>
        <w:tc>
          <w:tcPr>
            <w:tcW w:w="1800"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23.89</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08</w:t>
            </w: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机关事业单位基本养老保险缴费</w:t>
            </w:r>
          </w:p>
        </w:tc>
        <w:tc>
          <w:tcPr>
            <w:tcW w:w="160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31.85</w:t>
            </w:r>
          </w:p>
        </w:tc>
        <w:tc>
          <w:tcPr>
            <w:tcW w:w="1800"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31.85</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10</w:t>
            </w: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职工基本医疗保险缴费</w:t>
            </w:r>
          </w:p>
        </w:tc>
        <w:tc>
          <w:tcPr>
            <w:tcW w:w="160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24.97</w:t>
            </w:r>
          </w:p>
        </w:tc>
        <w:tc>
          <w:tcPr>
            <w:tcW w:w="1800"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24.97</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11</w:t>
            </w: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公务员医疗补助缴费</w:t>
            </w:r>
          </w:p>
        </w:tc>
        <w:tc>
          <w:tcPr>
            <w:tcW w:w="160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7.99</w:t>
            </w:r>
          </w:p>
        </w:tc>
        <w:tc>
          <w:tcPr>
            <w:tcW w:w="1800"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7.99</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02</w:t>
            </w: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印刷费</w:t>
            </w:r>
          </w:p>
        </w:tc>
        <w:tc>
          <w:tcPr>
            <w:tcW w:w="160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2</w:t>
            </w:r>
          </w:p>
        </w:tc>
        <w:tc>
          <w:tcPr>
            <w:tcW w:w="1800"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2</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05</w:t>
            </w: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水费</w:t>
            </w:r>
          </w:p>
        </w:tc>
        <w:tc>
          <w:tcPr>
            <w:tcW w:w="160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0.5</w:t>
            </w:r>
          </w:p>
        </w:tc>
        <w:tc>
          <w:tcPr>
            <w:tcW w:w="1800"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0.5</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06</w:t>
            </w: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电费</w:t>
            </w:r>
          </w:p>
        </w:tc>
        <w:tc>
          <w:tcPr>
            <w:tcW w:w="160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0.2</w:t>
            </w:r>
          </w:p>
        </w:tc>
        <w:tc>
          <w:tcPr>
            <w:tcW w:w="1800"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0.2</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07</w:t>
            </w: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邮电费</w:t>
            </w:r>
          </w:p>
        </w:tc>
        <w:tc>
          <w:tcPr>
            <w:tcW w:w="160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1</w:t>
            </w:r>
          </w:p>
        </w:tc>
        <w:tc>
          <w:tcPr>
            <w:tcW w:w="1800"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1</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11</w:t>
            </w: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差旅费</w:t>
            </w:r>
          </w:p>
        </w:tc>
        <w:tc>
          <w:tcPr>
            <w:tcW w:w="160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5</w:t>
            </w:r>
          </w:p>
        </w:tc>
        <w:tc>
          <w:tcPr>
            <w:tcW w:w="1800"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5</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13</w:t>
            </w: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维修(护)费</w:t>
            </w:r>
          </w:p>
        </w:tc>
        <w:tc>
          <w:tcPr>
            <w:tcW w:w="160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1</w:t>
            </w:r>
          </w:p>
        </w:tc>
        <w:tc>
          <w:tcPr>
            <w:tcW w:w="1800"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1</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14</w:t>
            </w: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租赁费</w:t>
            </w:r>
          </w:p>
        </w:tc>
        <w:tc>
          <w:tcPr>
            <w:tcW w:w="160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0.5</w:t>
            </w:r>
          </w:p>
        </w:tc>
        <w:tc>
          <w:tcPr>
            <w:tcW w:w="1800"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0.5</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17</w:t>
            </w: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公务接待费</w:t>
            </w:r>
          </w:p>
        </w:tc>
        <w:tc>
          <w:tcPr>
            <w:tcW w:w="160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3.65</w:t>
            </w:r>
          </w:p>
        </w:tc>
        <w:tc>
          <w:tcPr>
            <w:tcW w:w="1800"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3.65</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28</w:t>
            </w: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工会经费</w:t>
            </w:r>
          </w:p>
        </w:tc>
        <w:tc>
          <w:tcPr>
            <w:tcW w:w="160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2.53</w:t>
            </w:r>
          </w:p>
        </w:tc>
        <w:tc>
          <w:tcPr>
            <w:tcW w:w="1800"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2.53</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29</w:t>
            </w: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福利费</w:t>
            </w:r>
          </w:p>
        </w:tc>
        <w:tc>
          <w:tcPr>
            <w:tcW w:w="160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5.83</w:t>
            </w:r>
          </w:p>
        </w:tc>
        <w:tc>
          <w:tcPr>
            <w:tcW w:w="1800"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5.83</w:t>
            </w:r>
          </w:p>
        </w:tc>
      </w:tr>
      <w:tr>
        <w:tblPrEx>
          <w:tblLayout w:type="fixed"/>
          <w:tblCellMar>
            <w:top w:w="0" w:type="dxa"/>
            <w:left w:w="108" w:type="dxa"/>
            <w:bottom w:w="0" w:type="dxa"/>
            <w:right w:w="108" w:type="dxa"/>
          </w:tblCellMar>
        </w:tblPrEx>
        <w:trPr>
          <w:trHeight w:val="318"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31</w:t>
            </w: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公务用车运行维护费</w:t>
            </w:r>
          </w:p>
        </w:tc>
        <w:tc>
          <w:tcPr>
            <w:tcW w:w="160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7.15</w:t>
            </w:r>
          </w:p>
        </w:tc>
        <w:tc>
          <w:tcPr>
            <w:tcW w:w="1800"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7.15</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99</w:t>
            </w: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商品和服务支出</w:t>
            </w:r>
          </w:p>
        </w:tc>
        <w:tc>
          <w:tcPr>
            <w:tcW w:w="160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0.59</w:t>
            </w:r>
          </w:p>
        </w:tc>
        <w:tc>
          <w:tcPr>
            <w:tcW w:w="1800"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0.59</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99</w:t>
            </w: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商品和服务支出</w:t>
            </w:r>
          </w:p>
        </w:tc>
        <w:tc>
          <w:tcPr>
            <w:tcW w:w="160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3.39</w:t>
            </w:r>
          </w:p>
        </w:tc>
        <w:tc>
          <w:tcPr>
            <w:tcW w:w="1800"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3.39</w:t>
            </w:r>
          </w:p>
        </w:tc>
      </w:tr>
      <w:tr>
        <w:tblPrEx>
          <w:tblLayout w:type="fixed"/>
          <w:tblCellMar>
            <w:top w:w="0" w:type="dxa"/>
            <w:left w:w="108" w:type="dxa"/>
            <w:bottom w:w="0" w:type="dxa"/>
            <w:right w:w="108" w:type="dxa"/>
          </w:tblCellMar>
        </w:tblPrEx>
        <w:trPr>
          <w:trHeight w:val="341"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303</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09</w:t>
            </w: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奖励金</w:t>
            </w:r>
          </w:p>
        </w:tc>
        <w:tc>
          <w:tcPr>
            <w:tcW w:w="160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0.91</w:t>
            </w:r>
          </w:p>
        </w:tc>
        <w:tc>
          <w:tcPr>
            <w:tcW w:w="1800"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0.91</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307" w:hRule="atLeast"/>
        </w:trPr>
        <w:tc>
          <w:tcPr>
            <w:tcW w:w="75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303</w:t>
            </w:r>
          </w:p>
        </w:tc>
        <w:tc>
          <w:tcPr>
            <w:tcW w:w="577" w:type="dxa"/>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14</w:t>
            </w:r>
          </w:p>
        </w:tc>
        <w:tc>
          <w:tcPr>
            <w:tcW w:w="2891" w:type="dxa"/>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对个人和家庭的补助支出</w:t>
            </w:r>
          </w:p>
        </w:tc>
        <w:tc>
          <w:tcPr>
            <w:tcW w:w="1602" w:type="dxa"/>
            <w:gridSpan w:val="2"/>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0.9</w:t>
            </w:r>
          </w:p>
        </w:tc>
        <w:tc>
          <w:tcPr>
            <w:tcW w:w="1800" w:type="dxa"/>
            <w:gridSpan w:val="2"/>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0.9</w:t>
            </w:r>
          </w:p>
        </w:tc>
        <w:tc>
          <w:tcPr>
            <w:tcW w:w="1701" w:type="dxa"/>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rPr>
              <w:t>合  计</w:t>
            </w:r>
          </w:p>
        </w:tc>
        <w:tc>
          <w:tcPr>
            <w:tcW w:w="160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355.09</w:t>
            </w:r>
          </w:p>
        </w:tc>
        <w:tc>
          <w:tcPr>
            <w:tcW w:w="1800"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321.75</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33.34</w:t>
            </w:r>
          </w:p>
        </w:tc>
      </w:tr>
    </w:tbl>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表七：</w:t>
      </w:r>
    </w:p>
    <w:tbl>
      <w:tblPr>
        <w:tblStyle w:val="6"/>
        <w:tblW w:w="9558" w:type="dxa"/>
        <w:tblInd w:w="-360" w:type="dxa"/>
        <w:tblLayout w:type="fixed"/>
        <w:tblCellMar>
          <w:top w:w="0" w:type="dxa"/>
          <w:left w:w="108" w:type="dxa"/>
          <w:bottom w:w="0" w:type="dxa"/>
          <w:right w:w="108" w:type="dxa"/>
        </w:tblCellMar>
      </w:tblPr>
      <w:tblGrid>
        <w:gridCol w:w="10"/>
        <w:gridCol w:w="476"/>
        <w:gridCol w:w="397"/>
        <w:gridCol w:w="397"/>
        <w:gridCol w:w="851"/>
        <w:gridCol w:w="1456"/>
        <w:gridCol w:w="750"/>
        <w:gridCol w:w="110"/>
        <w:gridCol w:w="459"/>
        <w:gridCol w:w="536"/>
        <w:gridCol w:w="652"/>
        <w:gridCol w:w="652"/>
        <w:gridCol w:w="378"/>
        <w:gridCol w:w="200"/>
        <w:gridCol w:w="419"/>
        <w:gridCol w:w="578"/>
        <w:gridCol w:w="420"/>
        <w:gridCol w:w="420"/>
        <w:gridCol w:w="389"/>
        <w:gridCol w:w="8"/>
      </w:tblGrid>
      <w:tr>
        <w:tblPrEx>
          <w:tblLayout w:type="fixed"/>
          <w:tblCellMar>
            <w:top w:w="0" w:type="dxa"/>
            <w:left w:w="108" w:type="dxa"/>
            <w:bottom w:w="0" w:type="dxa"/>
            <w:right w:w="108" w:type="dxa"/>
          </w:tblCellMar>
        </w:tblPrEx>
        <w:trPr>
          <w:gridBefore w:val="1"/>
          <w:gridAfter w:val="1"/>
          <w:wBefore w:w="10" w:type="dxa"/>
          <w:wAfter w:w="8" w:type="dxa"/>
          <w:trHeight w:val="375" w:hRule="atLeast"/>
        </w:trPr>
        <w:tc>
          <w:tcPr>
            <w:tcW w:w="9540" w:type="dxa"/>
            <w:gridSpan w:val="18"/>
            <w:tcBorders>
              <w:top w:val="nil"/>
              <w:left w:val="nil"/>
              <w:bottom w:val="nil"/>
              <w:right w:val="nil"/>
            </w:tcBorders>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一般公共预算项目支出情况表</w:t>
            </w:r>
          </w:p>
        </w:tc>
      </w:tr>
      <w:tr>
        <w:tblPrEx>
          <w:tblLayout w:type="fixed"/>
          <w:tblCellMar>
            <w:top w:w="0" w:type="dxa"/>
            <w:left w:w="108" w:type="dxa"/>
            <w:bottom w:w="0" w:type="dxa"/>
            <w:right w:w="108" w:type="dxa"/>
          </w:tblCellMar>
        </w:tblPrEx>
        <w:trPr>
          <w:gridBefore w:val="1"/>
          <w:gridAfter w:val="1"/>
          <w:wBefore w:w="10" w:type="dxa"/>
          <w:wAfter w:w="8" w:type="dxa"/>
          <w:trHeight w:val="405" w:hRule="atLeast"/>
        </w:trPr>
        <w:tc>
          <w:tcPr>
            <w:tcW w:w="4437" w:type="dxa"/>
            <w:gridSpan w:val="7"/>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编制部门（单位）：昌吉州商务局</w:t>
            </w:r>
          </w:p>
        </w:tc>
        <w:tc>
          <w:tcPr>
            <w:tcW w:w="995" w:type="dxa"/>
            <w:gridSpan w:val="2"/>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p>
        </w:tc>
        <w:tc>
          <w:tcPr>
            <w:tcW w:w="1682" w:type="dxa"/>
            <w:gridSpan w:val="3"/>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6"/>
            <w:tcBorders>
              <w:top w:val="nil"/>
              <w:left w:val="nil"/>
              <w:bottom w:val="nil"/>
              <w:right w:val="nil"/>
            </w:tcBorders>
            <w:noWrap/>
            <w:vAlign w:val="center"/>
          </w:tcPr>
          <w:p>
            <w:pPr>
              <w:widowControl/>
              <w:ind w:firstLine="960" w:firstLineChars="4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280" w:type="dxa"/>
            <w:gridSpan w:val="4"/>
            <w:noWrap/>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 目 编 码</w:t>
            </w:r>
          </w:p>
        </w:tc>
        <w:tc>
          <w:tcPr>
            <w:tcW w:w="851" w:type="dxa"/>
            <w:vMerge w:val="restart"/>
            <w:noWrap/>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1456" w:type="dxa"/>
            <w:vMerge w:val="restart"/>
            <w:noWrap/>
            <w:vAlign w:val="center"/>
          </w:tcPr>
          <w:p>
            <w:pPr>
              <w:jc w:val="center"/>
              <w:rPr>
                <w:rFonts w:ascii="Calibri" w:hAnsi="Calibri"/>
                <w:sz w:val="24"/>
              </w:rPr>
            </w:pPr>
            <w:r>
              <w:rPr>
                <w:rFonts w:hint="eastAsia" w:ascii="仿宋_GB2312" w:hAnsi="宋体" w:eastAsia="仿宋_GB2312"/>
                <w:b/>
                <w:kern w:val="0"/>
                <w:sz w:val="24"/>
              </w:rPr>
              <w:t>项目名称</w:t>
            </w:r>
          </w:p>
        </w:tc>
        <w:tc>
          <w:tcPr>
            <w:tcW w:w="75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569"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536"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652"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652"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578"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19"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78"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397"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67" w:hRule="atLeast"/>
        </w:trPr>
        <w:tc>
          <w:tcPr>
            <w:tcW w:w="486" w:type="dxa"/>
            <w:gridSpan w:val="2"/>
            <w:tcBorders>
              <w:bottom w:val="single" w:color="auto" w:sz="4" w:space="0"/>
            </w:tcBorders>
            <w:noWrap/>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397" w:type="dxa"/>
            <w:tcBorders>
              <w:bottom w:val="single" w:color="auto" w:sz="4" w:space="0"/>
            </w:tcBorders>
            <w:noWrap/>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397" w:type="dxa"/>
            <w:tcBorders>
              <w:bottom w:val="single" w:color="auto" w:sz="4" w:space="0"/>
            </w:tcBorders>
            <w:noWrap/>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851" w:type="dxa"/>
            <w:vMerge w:val="continue"/>
            <w:tcBorders>
              <w:bottom w:val="single" w:color="auto" w:sz="4" w:space="0"/>
            </w:tcBorders>
            <w:vAlign w:val="center"/>
          </w:tcPr>
          <w:p>
            <w:pPr>
              <w:widowControl/>
              <w:jc w:val="left"/>
              <w:outlineLvl w:val="1"/>
              <w:rPr>
                <w:rFonts w:ascii="仿宋_GB2312" w:hAnsi="宋体" w:eastAsia="仿宋_GB2312"/>
                <w:b/>
                <w:kern w:val="0"/>
                <w:sz w:val="18"/>
                <w:szCs w:val="18"/>
              </w:rPr>
            </w:pPr>
          </w:p>
        </w:tc>
        <w:tc>
          <w:tcPr>
            <w:tcW w:w="1456"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75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69"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36"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78"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19"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78"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397"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486" w:type="dxa"/>
            <w:gridSpan w:val="2"/>
            <w:vAlign w:val="center"/>
          </w:tcPr>
          <w:p>
            <w:pPr>
              <w:jc w:val="center"/>
              <w:rPr>
                <w:rFonts w:ascii="仿宋_GB2312" w:hAnsi="宋体" w:eastAsia="仿宋_GB2312" w:cs="宋体"/>
                <w:b/>
                <w:bCs/>
                <w:color w:val="000000"/>
                <w:kern w:val="0"/>
                <w:sz w:val="18"/>
                <w:szCs w:val="18"/>
              </w:rPr>
            </w:pPr>
            <w:r>
              <w:rPr>
                <w:rFonts w:ascii="仿宋_GB2312" w:hAnsi="宋体" w:eastAsia="仿宋_GB2312" w:cs="宋体"/>
                <w:color w:val="000000"/>
                <w:sz w:val="18"/>
                <w:szCs w:val="18"/>
              </w:rPr>
              <w:t>201</w:t>
            </w:r>
          </w:p>
        </w:tc>
        <w:tc>
          <w:tcPr>
            <w:tcW w:w="397" w:type="dxa"/>
            <w:vAlign w:val="center"/>
          </w:tcPr>
          <w:p>
            <w:pPr>
              <w:jc w:val="center"/>
              <w:rPr>
                <w:rFonts w:ascii="仿宋_GB2312" w:hAnsi="宋体" w:eastAsia="仿宋_GB2312" w:cs="宋体"/>
                <w:b/>
                <w:bCs/>
                <w:color w:val="000000"/>
                <w:kern w:val="0"/>
                <w:sz w:val="18"/>
                <w:szCs w:val="18"/>
              </w:rPr>
            </w:pPr>
            <w:r>
              <w:rPr>
                <w:rFonts w:ascii="仿宋_GB2312" w:hAnsi="宋体" w:eastAsia="仿宋_GB2312" w:cs="宋体"/>
                <w:color w:val="000000"/>
                <w:sz w:val="18"/>
                <w:szCs w:val="18"/>
              </w:rPr>
              <w:t>13</w:t>
            </w:r>
          </w:p>
        </w:tc>
        <w:tc>
          <w:tcPr>
            <w:tcW w:w="397" w:type="dxa"/>
            <w:vAlign w:val="center"/>
          </w:tcPr>
          <w:p>
            <w:pPr>
              <w:jc w:val="center"/>
              <w:rPr>
                <w:rFonts w:ascii="仿宋_GB2312" w:hAnsi="宋体" w:eastAsia="仿宋_GB2312" w:cs="宋体"/>
                <w:b/>
                <w:bCs/>
                <w:color w:val="000000"/>
                <w:kern w:val="0"/>
                <w:sz w:val="18"/>
                <w:szCs w:val="18"/>
              </w:rPr>
            </w:pPr>
            <w:r>
              <w:rPr>
                <w:rFonts w:ascii="仿宋_GB2312" w:hAnsi="宋体" w:eastAsia="仿宋_GB2312" w:cs="宋体"/>
                <w:color w:val="000000"/>
                <w:sz w:val="18"/>
                <w:szCs w:val="18"/>
              </w:rPr>
              <w:t>08</w:t>
            </w:r>
          </w:p>
        </w:tc>
        <w:tc>
          <w:tcPr>
            <w:tcW w:w="851" w:type="dxa"/>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招商引资</w:t>
            </w:r>
          </w:p>
        </w:tc>
        <w:tc>
          <w:tcPr>
            <w:tcW w:w="1456" w:type="dxa"/>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招商引资工作业务经费</w:t>
            </w:r>
          </w:p>
        </w:tc>
        <w:tc>
          <w:tcPr>
            <w:tcW w:w="750"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10</w:t>
            </w:r>
          </w:p>
        </w:tc>
        <w:tc>
          <w:tcPr>
            <w:tcW w:w="569" w:type="dxa"/>
            <w:gridSpan w:val="2"/>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10</w:t>
            </w: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397"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486" w:type="dxa"/>
            <w:gridSpan w:val="2"/>
            <w:vAlign w:val="center"/>
          </w:tcPr>
          <w:p>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201</w:t>
            </w:r>
          </w:p>
        </w:tc>
        <w:tc>
          <w:tcPr>
            <w:tcW w:w="397" w:type="dxa"/>
            <w:vAlign w:val="center"/>
          </w:tcPr>
          <w:p>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13</w:t>
            </w:r>
          </w:p>
        </w:tc>
        <w:tc>
          <w:tcPr>
            <w:tcW w:w="397" w:type="dxa"/>
            <w:vAlign w:val="center"/>
          </w:tcPr>
          <w:p>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99</w:t>
            </w:r>
          </w:p>
        </w:tc>
        <w:tc>
          <w:tcPr>
            <w:tcW w:w="851" w:type="dxa"/>
            <w:vAlign w:val="center"/>
          </w:tcPr>
          <w:p>
            <w:pPr>
              <w:tabs>
                <w:tab w:val="left" w:pos="402"/>
              </w:tabs>
              <w:jc w:val="left"/>
              <w:rPr>
                <w:rFonts w:ascii="仿宋_GB2312" w:hAnsi="宋体" w:eastAsia="仿宋_GB2312" w:cs="宋体"/>
                <w:color w:val="000000"/>
                <w:sz w:val="18"/>
                <w:szCs w:val="18"/>
              </w:rPr>
            </w:pPr>
            <w:r>
              <w:rPr>
                <w:rFonts w:hint="eastAsia" w:ascii="仿宋_GB2312" w:hAnsi="宋体" w:eastAsia="仿宋_GB2312" w:cs="宋体"/>
                <w:color w:val="000000"/>
                <w:sz w:val="18"/>
                <w:szCs w:val="18"/>
              </w:rPr>
              <w:t>其他商贸事务支出</w:t>
            </w:r>
          </w:p>
        </w:tc>
        <w:tc>
          <w:tcPr>
            <w:tcW w:w="1456" w:type="dxa"/>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昌吉州现代物流业发展“十四五”规划</w:t>
            </w:r>
          </w:p>
        </w:tc>
        <w:tc>
          <w:tcPr>
            <w:tcW w:w="750"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50</w:t>
            </w:r>
          </w:p>
        </w:tc>
        <w:tc>
          <w:tcPr>
            <w:tcW w:w="569" w:type="dxa"/>
            <w:gridSpan w:val="2"/>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50</w:t>
            </w: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397"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486" w:type="dxa"/>
            <w:gridSpan w:val="2"/>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851"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gridSpan w:val="2"/>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397"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486" w:type="dxa"/>
            <w:gridSpan w:val="2"/>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851"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gridSpan w:val="2"/>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397"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486" w:type="dxa"/>
            <w:gridSpan w:val="2"/>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851"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gridSpan w:val="2"/>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397"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486" w:type="dxa"/>
            <w:gridSpan w:val="2"/>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851"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gridSpan w:val="2"/>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397"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486" w:type="dxa"/>
            <w:gridSpan w:val="2"/>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851"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gridSpan w:val="2"/>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397"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486" w:type="dxa"/>
            <w:gridSpan w:val="2"/>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851"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gridSpan w:val="2"/>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397"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486" w:type="dxa"/>
            <w:gridSpan w:val="2"/>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851"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gridSpan w:val="2"/>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397"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486" w:type="dxa"/>
            <w:gridSpan w:val="2"/>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851"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gridSpan w:val="2"/>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397"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486" w:type="dxa"/>
            <w:gridSpan w:val="2"/>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851"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gridSpan w:val="2"/>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397"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486" w:type="dxa"/>
            <w:gridSpan w:val="2"/>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851"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gridSpan w:val="2"/>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397"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486" w:type="dxa"/>
            <w:gridSpan w:val="2"/>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851"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gridSpan w:val="2"/>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397"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486" w:type="dxa"/>
            <w:gridSpan w:val="2"/>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851"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gridSpan w:val="2"/>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397"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486" w:type="dxa"/>
            <w:gridSpan w:val="2"/>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851"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b/>
                <w:bCs/>
                <w:kern w:val="0"/>
                <w:sz w:val="18"/>
                <w:szCs w:val="18"/>
              </w:rPr>
              <w:t>合 计</w:t>
            </w:r>
          </w:p>
        </w:tc>
        <w:tc>
          <w:tcPr>
            <w:tcW w:w="750"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60</w:t>
            </w:r>
          </w:p>
        </w:tc>
        <w:tc>
          <w:tcPr>
            <w:tcW w:w="569" w:type="dxa"/>
            <w:gridSpan w:val="2"/>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60</w:t>
            </w: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397" w:type="dxa"/>
            <w:gridSpan w:val="2"/>
            <w:vAlign w:val="center"/>
          </w:tcPr>
          <w:p>
            <w:pPr>
              <w:widowControl/>
              <w:jc w:val="center"/>
              <w:outlineLvl w:val="1"/>
              <w:rPr>
                <w:rFonts w:ascii="仿宋_GB2312" w:hAnsi="宋体" w:eastAsia="仿宋_GB2312"/>
                <w:kern w:val="0"/>
                <w:sz w:val="18"/>
                <w:szCs w:val="18"/>
              </w:rPr>
            </w:pPr>
          </w:p>
        </w:tc>
      </w:tr>
    </w:tbl>
    <w:p>
      <w:pPr>
        <w:widowControl/>
        <w:outlineLvl w:val="1"/>
        <w:rPr>
          <w:rFonts w:ascii="仿宋_GB2312" w:hAnsi="宋体" w:eastAsia="仿宋_GB2312"/>
          <w:b/>
          <w:kern w:val="0"/>
          <w:sz w:val="28"/>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表八：</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一般公共预算“三公”经费支出情况表</w:t>
      </w:r>
    </w:p>
    <w:p>
      <w:pPr>
        <w:widowControl/>
        <w:jc w:val="center"/>
        <w:outlineLvl w:val="1"/>
        <w:rPr>
          <w:rFonts w:ascii="仿宋_GB2312" w:hAnsi="宋体" w:eastAsia="仿宋_GB2312"/>
          <w:b/>
          <w:kern w:val="0"/>
          <w:sz w:val="32"/>
          <w:szCs w:val="32"/>
        </w:rPr>
      </w:pP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编制部门（单位）： 昌吉州商务局                              单位：万元</w:t>
      </w:r>
    </w:p>
    <w:tbl>
      <w:tblPr>
        <w:tblStyle w:val="6"/>
        <w:tblW w:w="9240" w:type="dxa"/>
        <w:tblInd w:w="-173" w:type="dxa"/>
        <w:tblLayout w:type="fixed"/>
        <w:tblCellMar>
          <w:top w:w="0" w:type="dxa"/>
          <w:left w:w="108" w:type="dxa"/>
          <w:bottom w:w="0" w:type="dxa"/>
          <w:right w:w="108" w:type="dxa"/>
        </w:tblCellMar>
      </w:tblPr>
      <w:tblGrid>
        <w:gridCol w:w="1575"/>
        <w:gridCol w:w="1417"/>
        <w:gridCol w:w="1559"/>
        <w:gridCol w:w="1418"/>
        <w:gridCol w:w="1559"/>
        <w:gridCol w:w="1712"/>
      </w:tblGrid>
      <w:tr>
        <w:tblPrEx>
          <w:tblLayout w:type="fixed"/>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7"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712"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公务接待费</w:t>
            </w:r>
          </w:p>
        </w:tc>
      </w:tr>
      <w:tr>
        <w:tblPrEx>
          <w:tblLayout w:type="fixed"/>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417" w:type="dxa"/>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71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10.8</w:t>
            </w: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7.15</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7.15</w:t>
            </w:r>
          </w:p>
        </w:tc>
        <w:tc>
          <w:tcPr>
            <w:tcW w:w="171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3.65</w:t>
            </w:r>
          </w:p>
        </w:tc>
      </w:tr>
      <w:tr>
        <w:tblPrEx>
          <w:tblLayout w:type="fixed"/>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bl>
    <w:p>
      <w:pPr>
        <w:widowControl/>
        <w:outlineLvl w:val="1"/>
        <w:rPr>
          <w:rFonts w:ascii="仿宋_GB2312" w:hAnsi="宋体" w:eastAsia="仿宋_GB2312"/>
          <w:b/>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spacing w:line="360" w:lineRule="exact"/>
        <w:jc w:val="left"/>
        <w:outlineLvl w:val="1"/>
        <w:rPr>
          <w:rFonts w:ascii="仿宋_GB2312" w:hAnsi="宋体" w:eastAsia="仿宋_GB2312"/>
          <w:b/>
          <w:kern w:val="0"/>
          <w:sz w:val="32"/>
          <w:szCs w:val="32"/>
        </w:rPr>
      </w:pPr>
    </w:p>
    <w:p>
      <w:pPr>
        <w:widowControl/>
        <w:spacing w:line="360" w:lineRule="exact"/>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表九：</w:t>
      </w:r>
    </w:p>
    <w:p>
      <w:pPr>
        <w:widowControl/>
        <w:spacing w:line="36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政府性基金预算支出情况表</w:t>
      </w:r>
    </w:p>
    <w:p>
      <w:pPr>
        <w:widowControl/>
        <w:spacing w:line="280" w:lineRule="exact"/>
        <w:outlineLvl w:val="1"/>
        <w:rPr>
          <w:rFonts w:ascii="仿宋_GB2312" w:hAnsi="宋体" w:eastAsia="仿宋_GB2312"/>
          <w:kern w:val="0"/>
          <w:sz w:val="24"/>
        </w:rPr>
      </w:pPr>
      <w:r>
        <w:rPr>
          <w:rFonts w:hint="eastAsia" w:ascii="仿宋_GB2312" w:hAnsi="宋体" w:eastAsia="仿宋_GB2312"/>
          <w:kern w:val="0"/>
          <w:sz w:val="24"/>
        </w:rPr>
        <w:t>编制部门（单位）：昌吉州商务局                              单位：万元</w:t>
      </w:r>
    </w:p>
    <w:tbl>
      <w:tblPr>
        <w:tblStyle w:val="6"/>
        <w:tblW w:w="9214" w:type="dxa"/>
        <w:tblInd w:w="-34" w:type="dxa"/>
        <w:tblLayout w:type="fixed"/>
        <w:tblCellMar>
          <w:top w:w="0" w:type="dxa"/>
          <w:left w:w="108" w:type="dxa"/>
          <w:bottom w:w="0" w:type="dxa"/>
          <w:right w:w="108" w:type="dxa"/>
        </w:tblCellMar>
      </w:tblPr>
      <w:tblGrid>
        <w:gridCol w:w="585"/>
        <w:gridCol w:w="457"/>
        <w:gridCol w:w="699"/>
        <w:gridCol w:w="2544"/>
        <w:gridCol w:w="1669"/>
        <w:gridCol w:w="1701"/>
        <w:gridCol w:w="1559"/>
      </w:tblGrid>
      <w:tr>
        <w:tblPrEx>
          <w:tblLayout w:type="fixed"/>
          <w:tblCellMar>
            <w:top w:w="0" w:type="dxa"/>
            <w:left w:w="108" w:type="dxa"/>
            <w:bottom w:w="0" w:type="dxa"/>
            <w:right w:w="108" w:type="dxa"/>
          </w:tblCellMar>
        </w:tblPrEx>
        <w:trPr>
          <w:trHeight w:val="465" w:hRule="atLeast"/>
        </w:trPr>
        <w:tc>
          <w:tcPr>
            <w:tcW w:w="4285"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929" w:type="dxa"/>
            <w:gridSpan w:val="3"/>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tblPrEx>
          <w:tblLayout w:type="fixed"/>
          <w:tblCellMar>
            <w:top w:w="0" w:type="dxa"/>
            <w:left w:w="108" w:type="dxa"/>
            <w:bottom w:w="0" w:type="dxa"/>
            <w:right w:w="108" w:type="dxa"/>
          </w:tblCellMar>
        </w:tblPrEx>
        <w:trPr>
          <w:trHeight w:val="360" w:hRule="atLeast"/>
        </w:trPr>
        <w:tc>
          <w:tcPr>
            <w:tcW w:w="1741"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54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66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合 计</w:t>
            </w:r>
          </w:p>
        </w:tc>
        <w:tc>
          <w:tcPr>
            <w:tcW w:w="1701"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tblPrEx>
          <w:tblLayout w:type="fixed"/>
          <w:tblCellMar>
            <w:top w:w="0" w:type="dxa"/>
            <w:left w:w="108" w:type="dxa"/>
            <w:bottom w:w="0" w:type="dxa"/>
            <w:right w:w="108" w:type="dxa"/>
          </w:tblCellMar>
        </w:tblPrEx>
        <w:trPr>
          <w:trHeight w:val="315"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54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66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rPr>
              <w:t>合  计</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bl>
    <w:p>
      <w:pPr>
        <w:widowControl/>
        <w:spacing w:line="280" w:lineRule="exact"/>
        <w:outlineLvl w:val="1"/>
        <w:rPr>
          <w:rFonts w:ascii="仿宋_GB2312" w:hAnsi="宋体" w:eastAsia="仿宋_GB2312"/>
          <w:b/>
          <w:kern w:val="0"/>
          <w:sz w:val="28"/>
          <w:szCs w:val="32"/>
        </w:rPr>
      </w:pPr>
      <w:r>
        <w:rPr>
          <w:rFonts w:hint="eastAsia" w:ascii="仿宋_GB2312" w:hAnsi="宋体" w:eastAsia="仿宋_GB2312"/>
          <w:b/>
          <w:kern w:val="0"/>
          <w:sz w:val="28"/>
          <w:szCs w:val="32"/>
        </w:rPr>
        <w:t>备注：我单位无政府性基金预算，此表为空表。</w:t>
      </w:r>
    </w:p>
    <w:p>
      <w:pPr>
        <w:widowControl/>
        <w:spacing w:line="280" w:lineRule="exact"/>
        <w:jc w:val="left"/>
        <w:outlineLvl w:val="1"/>
        <w:rPr>
          <w:rFonts w:ascii="仿宋_GB2312" w:hAnsi="宋体" w:eastAsia="仿宋_GB2312"/>
          <w:kern w:val="0"/>
          <w:sz w:val="32"/>
          <w:szCs w:val="32"/>
        </w:rPr>
        <w:sectPr>
          <w:footerReference r:id="rId3" w:type="even"/>
          <w:pgSz w:w="11906" w:h="16838"/>
          <w:pgMar w:top="2098" w:right="1418" w:bottom="1928" w:left="1588" w:header="851" w:footer="992" w:gutter="0"/>
          <w:pgNumType w:start="1"/>
          <w:cols w:space="720" w:num="1"/>
          <w:docGrid w:linePitch="312" w:charSpace="0"/>
        </w:sectPr>
      </w:pPr>
    </w:p>
    <w:p>
      <w:pPr>
        <w:spacing w:line="560" w:lineRule="exact"/>
        <w:jc w:val="center"/>
        <w:rPr>
          <w:rFonts w:ascii="黑体" w:hAnsi="黑体" w:eastAsia="黑体"/>
          <w:kern w:val="0"/>
          <w:sz w:val="32"/>
          <w:szCs w:val="32"/>
        </w:rPr>
      </w:pPr>
      <w:r>
        <w:rPr>
          <w:rFonts w:hint="eastAsia" w:ascii="黑体" w:hAnsi="黑体" w:eastAsia="黑体"/>
          <w:kern w:val="0"/>
          <w:sz w:val="32"/>
          <w:szCs w:val="32"/>
        </w:rPr>
        <w:t>第三部分  2021年昌吉州商务局预算情况说明</w:t>
      </w:r>
    </w:p>
    <w:p>
      <w:pPr>
        <w:spacing w:line="560" w:lineRule="exact"/>
        <w:jc w:val="center"/>
        <w:rPr>
          <w:rFonts w:ascii="黑体" w:hAnsi="黑体" w:eastAsia="黑体"/>
          <w:kern w:val="0"/>
          <w:sz w:val="32"/>
          <w:szCs w:val="32"/>
        </w:rPr>
      </w:pPr>
    </w:p>
    <w:p>
      <w:pPr>
        <w:spacing w:line="560" w:lineRule="exact"/>
        <w:ind w:firstLine="640" w:firstLineChars="200"/>
        <w:rPr>
          <w:rFonts w:ascii="黑体" w:hAnsi="宋体" w:eastAsia="黑体" w:cs="宋体"/>
          <w:kern w:val="0"/>
          <w:sz w:val="32"/>
          <w:szCs w:val="32"/>
        </w:rPr>
      </w:pPr>
      <w:r>
        <w:rPr>
          <w:rFonts w:hint="eastAsia" w:ascii="黑体" w:hAnsi="黑体" w:eastAsia="黑体" w:cs="宋体"/>
          <w:bCs/>
          <w:kern w:val="0"/>
          <w:sz w:val="32"/>
          <w:szCs w:val="32"/>
        </w:rPr>
        <w:t>一、</w:t>
      </w:r>
      <w:r>
        <w:rPr>
          <w:rFonts w:hint="eastAsia" w:ascii="黑体" w:hAnsi="宋体" w:eastAsia="黑体" w:cs="宋体"/>
          <w:kern w:val="0"/>
          <w:sz w:val="32"/>
          <w:szCs w:val="32"/>
        </w:rPr>
        <w:t>关于</w:t>
      </w:r>
      <w:r>
        <w:rPr>
          <w:rFonts w:hint="eastAsia" w:ascii="黑体" w:hAnsi="黑体" w:eastAsia="黑体"/>
          <w:kern w:val="0"/>
          <w:sz w:val="32"/>
          <w:szCs w:val="32"/>
        </w:rPr>
        <w:t>昌吉州商务局2021</w:t>
      </w:r>
      <w:r>
        <w:rPr>
          <w:rFonts w:hint="eastAsia" w:ascii="黑体" w:hAnsi="宋体" w:eastAsia="黑体" w:cs="宋体"/>
          <w:kern w:val="0"/>
          <w:sz w:val="32"/>
          <w:szCs w:val="32"/>
        </w:rPr>
        <w:t>年收支预算情况的总体说明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按照全口径预算的原则，昌吉州商务局2021年所有收入和支出均纳入部门（单位）预算管理。收支总预算415.09万元。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收入预算包括：一般公共预算415.09万元。</w:t>
      </w:r>
    </w:p>
    <w:p>
      <w:pPr>
        <w:spacing w:line="560" w:lineRule="exact"/>
        <w:ind w:firstLine="640" w:firstLineChars="200"/>
        <w:rPr>
          <w:rFonts w:ascii="仿宋_GB2312" w:hAnsi="宋体" w:eastAsia="仿宋_GB2312" w:cs="宋体"/>
          <w:color w:val="000000" w:themeColor="text1"/>
          <w:kern w:val="0"/>
          <w:sz w:val="32"/>
          <w:szCs w:val="32"/>
          <w14:textFill>
            <w14:solidFill>
              <w14:schemeClr w14:val="tx1"/>
            </w14:solidFill>
          </w14:textFill>
        </w:rPr>
      </w:pPr>
      <w:r>
        <w:rPr>
          <w:rFonts w:hint="eastAsia" w:ascii="仿宋_GB2312" w:hAnsi="宋体" w:eastAsia="仿宋_GB2312" w:cs="宋体"/>
          <w:color w:val="000000" w:themeColor="text1"/>
          <w:kern w:val="0"/>
          <w:sz w:val="32"/>
          <w:szCs w:val="32"/>
          <w14:textFill>
            <w14:solidFill>
              <w14:schemeClr w14:val="tx1"/>
            </w14:solidFill>
          </w14:textFill>
        </w:rPr>
        <w:t>支出预算包括：</w:t>
      </w:r>
      <w:r>
        <w:rPr>
          <w:rFonts w:hint="eastAsia" w:ascii="仿宋_GB2312" w:hAnsi="宋体" w:eastAsia="仿宋_GB2312" w:cs="宋体"/>
          <w:spacing w:val="-6"/>
          <w:kern w:val="0"/>
          <w:sz w:val="32"/>
          <w:szCs w:val="32"/>
        </w:rPr>
        <w:t>一般公共服务支出350.28万元、社会保障和就业支出31.85万元、卫生健康支出32.96万元。</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二、关于</w:t>
      </w:r>
      <w:r>
        <w:rPr>
          <w:rFonts w:hint="eastAsia" w:ascii="黑体" w:hAnsi="黑体" w:eastAsia="黑体"/>
          <w:kern w:val="0"/>
          <w:sz w:val="32"/>
          <w:szCs w:val="32"/>
        </w:rPr>
        <w:t>昌吉州商务局2021</w:t>
      </w:r>
      <w:r>
        <w:rPr>
          <w:rFonts w:hint="eastAsia" w:ascii="黑体" w:hAnsi="宋体" w:eastAsia="黑体" w:cs="宋体"/>
          <w:kern w:val="0"/>
          <w:sz w:val="32"/>
          <w:szCs w:val="32"/>
        </w:rPr>
        <w:t>年收入预算情况说明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昌吉州商务局收入预算415.09万元，其中：</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一般公共预算355.09万元，占100%，比上年减少11.3万元，主要原因是1、州商务局增加一名退休干部，2、</w:t>
      </w:r>
      <w:r>
        <w:rPr>
          <w:rFonts w:hint="eastAsia" w:ascii="仿宋" w:hAnsi="仿宋" w:eastAsia="仿宋" w:cs="宋体"/>
          <w:color w:val="000000"/>
          <w:kern w:val="0"/>
          <w:sz w:val="32"/>
          <w:szCs w:val="32"/>
        </w:rPr>
        <w:t>调标增资、社保缴费增加；</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政府性基金预算未安排。</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国有资本经营预算未安排。</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三、关于</w:t>
      </w:r>
      <w:r>
        <w:rPr>
          <w:rFonts w:hint="eastAsia" w:ascii="黑体" w:hAnsi="黑体" w:eastAsia="黑体"/>
          <w:kern w:val="0"/>
          <w:sz w:val="32"/>
          <w:szCs w:val="32"/>
        </w:rPr>
        <w:t>昌吉州商务局2021</w:t>
      </w:r>
      <w:r>
        <w:rPr>
          <w:rFonts w:hint="eastAsia" w:ascii="黑体" w:hAnsi="宋体" w:eastAsia="黑体" w:cs="宋体"/>
          <w:kern w:val="0"/>
          <w:sz w:val="32"/>
          <w:szCs w:val="32"/>
        </w:rPr>
        <w:t>年支出预算情况说明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昌吉州商务局2021年支出预算415.09万元，其中：</w:t>
      </w:r>
    </w:p>
    <w:p>
      <w:pPr>
        <w:spacing w:line="560" w:lineRule="exact"/>
        <w:ind w:firstLine="640" w:firstLineChars="200"/>
        <w:rPr>
          <w:rFonts w:ascii="仿宋_GB2312" w:hAnsi="宋体" w:eastAsia="仿宋_GB2312" w:cs="宋体"/>
          <w:b/>
          <w:kern w:val="0"/>
          <w:sz w:val="32"/>
          <w:szCs w:val="32"/>
        </w:rPr>
      </w:pPr>
      <w:r>
        <w:rPr>
          <w:rFonts w:hint="eastAsia" w:ascii="仿宋_GB2312" w:hAnsi="宋体" w:eastAsia="仿宋_GB2312" w:cs="宋体"/>
          <w:kern w:val="0"/>
          <w:sz w:val="32"/>
          <w:szCs w:val="32"/>
        </w:rPr>
        <w:t>基本支出355.09万元，占85.5%，比上年减少11.3万元，主要原因是州商务局增加一名退休干部。</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项目支出60万元，占14.5%，比上年增加50万元，主要原因是增加一个项目任务《昌吉州现代物流业发展“十四五”规划》，经费增加50万元。</w:t>
      </w:r>
    </w:p>
    <w:p>
      <w:pPr>
        <w:spacing w:line="560" w:lineRule="exact"/>
        <w:ind w:firstLine="640" w:firstLineChars="200"/>
        <w:rPr>
          <w:rFonts w:ascii="黑体" w:hAnsi="黑体" w:eastAsia="黑体" w:cs="宋体"/>
          <w:bCs/>
          <w:kern w:val="0"/>
          <w:sz w:val="32"/>
          <w:szCs w:val="32"/>
        </w:rPr>
      </w:pPr>
      <w:r>
        <w:rPr>
          <w:rFonts w:hint="eastAsia" w:ascii="黑体" w:hAnsi="黑体" w:eastAsia="黑体" w:cs="宋体"/>
          <w:bCs/>
          <w:kern w:val="0"/>
          <w:sz w:val="32"/>
          <w:szCs w:val="32"/>
        </w:rPr>
        <w:t>四、关于</w:t>
      </w:r>
      <w:r>
        <w:rPr>
          <w:rFonts w:hint="eastAsia" w:ascii="黑体" w:hAnsi="黑体" w:eastAsia="黑体"/>
          <w:kern w:val="0"/>
          <w:sz w:val="32"/>
          <w:szCs w:val="32"/>
        </w:rPr>
        <w:t>昌吉州商务局2021</w:t>
      </w:r>
      <w:r>
        <w:rPr>
          <w:rFonts w:hint="eastAsia" w:ascii="黑体" w:hAnsi="宋体" w:eastAsia="黑体" w:cs="宋体"/>
          <w:kern w:val="0"/>
          <w:sz w:val="32"/>
          <w:szCs w:val="32"/>
        </w:rPr>
        <w:t>年</w:t>
      </w:r>
      <w:r>
        <w:rPr>
          <w:rFonts w:hint="eastAsia" w:ascii="黑体" w:hAnsi="黑体" w:eastAsia="黑体" w:cs="宋体"/>
          <w:bCs/>
          <w:kern w:val="0"/>
          <w:sz w:val="32"/>
          <w:szCs w:val="32"/>
        </w:rPr>
        <w:t>财政拨款收支预算情况的总体说明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2021年财政拨款收支总预算415.09万元。</w:t>
      </w:r>
    </w:p>
    <w:p>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收入全部为一般公共预算拨款，无政府性基金预算和国有资本经营预算拨款。</w:t>
      </w:r>
    </w:p>
    <w:p>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收入预算包括：一般公共预算拨款415.09万元。</w:t>
      </w:r>
    </w:p>
    <w:p>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一般公共预算支出包括：201一般公共服务支出350.28万元；208社会保障和就业支出31.85万元；21卫生健康支出32.96万元，主要用于人员工资社保等基本支出和日常办公运行，发挥招商引资功能。</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五、关于</w:t>
      </w:r>
      <w:r>
        <w:rPr>
          <w:rFonts w:hint="eastAsia" w:ascii="黑体" w:hAnsi="黑体" w:eastAsia="黑体"/>
          <w:kern w:val="0"/>
          <w:sz w:val="32"/>
          <w:szCs w:val="32"/>
        </w:rPr>
        <w:t>昌吉州商务局2021</w:t>
      </w:r>
      <w:r>
        <w:rPr>
          <w:rFonts w:hint="eastAsia" w:ascii="黑体" w:hAnsi="宋体" w:eastAsia="黑体" w:cs="宋体"/>
          <w:kern w:val="0"/>
          <w:sz w:val="32"/>
          <w:szCs w:val="32"/>
        </w:rPr>
        <w:t>年一般公共预算当年拨款情况说明</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（一）一般公共预算当年拨款规模变化情况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商务局2021年一般公共预算拨款合计415.09万元，其中：基本支出355.09万元，比上年预算减少11.3万元，下降3%。主要原因是：州商务局增加一名退休干部。项目支出60万元，比上年预算增加50万元，增长500%。主要原因是：增加一个项目任务《昌吉州现代物流业发展“十四五”规划》，经费增加50万元。</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（二）一般公共预算当年拨款结构情况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一般公共预算基本支出355.09万元，其中：</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人员经费321.75万元，主要包括：基本工资126.72万元、津贴补贴65.54万元、奖金8.93万元、伙食补助费27.72万元、机关事业单位基本养老保险缴费31.85万元、其他财政供养人员2.33万元、职工基本医疗保险缴费24.97万元、公务员医疗补助缴费7.99万元、住房公积金23.89万元、对个人和家庭的补助1.81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公用经费33.34万元，主要包括：印刷费2万元、水费0.5万元、电费0.2万元、邮电费1万元、差旅费5万元、维修（护）费1万元、租赁费0.5万元、公务接待费3.65万元、工会经费2.53万元、福利费5.83万元、公务用车运行维护费7.15万元、其他商品和服务支出3.98万元。</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（三）一般公共预算当年拨款具体使用情况</w:t>
      </w:r>
    </w:p>
    <w:p>
      <w:pPr>
        <w:spacing w:line="560" w:lineRule="exact"/>
        <w:ind w:firstLine="640" w:firstLineChars="200"/>
        <w:rPr>
          <w:rFonts w:ascii="仿宋_GB2312" w:hAnsi="宋体" w:eastAsia="仿宋_GB2312" w:cs="宋体"/>
          <w:color w:val="000000" w:themeColor="text1"/>
          <w:kern w:val="0"/>
          <w:sz w:val="32"/>
          <w:szCs w:val="32"/>
          <w14:textFill>
            <w14:solidFill>
              <w14:schemeClr w14:val="tx1"/>
            </w14:solidFill>
          </w14:textFill>
        </w:rPr>
      </w:pPr>
      <w:r>
        <w:rPr>
          <w:rFonts w:hint="eastAsia" w:ascii="仿宋_GB2312" w:hAnsi="宋体" w:eastAsia="仿宋_GB2312" w:cs="宋体"/>
          <w:color w:val="000000" w:themeColor="text1"/>
          <w:kern w:val="0"/>
          <w:sz w:val="32"/>
          <w:szCs w:val="32"/>
          <w14:textFill>
            <w14:solidFill>
              <w14:schemeClr w14:val="tx1"/>
            </w14:solidFill>
          </w14:textFill>
        </w:rPr>
        <w:t>1.</w:t>
      </w:r>
      <w:r>
        <w:rPr>
          <w:rFonts w:ascii="仿宋_GB2312" w:hAnsi="宋体" w:eastAsia="仿宋_GB2312" w:cs="宋体"/>
          <w:color w:val="000000" w:themeColor="text1"/>
          <w:kern w:val="0"/>
          <w:sz w:val="32"/>
          <w:szCs w:val="32"/>
          <w14:textFill>
            <w14:solidFill>
              <w14:schemeClr w14:val="tx1"/>
            </w14:solidFill>
          </w14:textFill>
        </w:rPr>
        <w:t>一般公共服务（</w:t>
      </w:r>
      <w:r>
        <w:rPr>
          <w:rFonts w:hint="eastAsia" w:ascii="仿宋_GB2312" w:hAnsi="宋体" w:eastAsia="仿宋_GB2312" w:cs="宋体"/>
          <w:color w:val="000000" w:themeColor="text1"/>
          <w:kern w:val="0"/>
          <w:sz w:val="32"/>
          <w:szCs w:val="32"/>
          <w14:textFill>
            <w14:solidFill>
              <w14:schemeClr w14:val="tx1"/>
            </w14:solidFill>
          </w14:textFill>
        </w:rPr>
        <w:t>201</w:t>
      </w:r>
      <w:r>
        <w:rPr>
          <w:rFonts w:ascii="仿宋_GB2312" w:hAnsi="宋体" w:eastAsia="仿宋_GB2312" w:cs="宋体"/>
          <w:color w:val="000000" w:themeColor="text1"/>
          <w:kern w:val="0"/>
          <w:sz w:val="32"/>
          <w:szCs w:val="32"/>
          <w14:textFill>
            <w14:solidFill>
              <w14:schemeClr w14:val="tx1"/>
            </w14:solidFill>
          </w14:textFill>
        </w:rPr>
        <w:t>类）财政事务（</w:t>
      </w:r>
      <w:r>
        <w:rPr>
          <w:rFonts w:hint="eastAsia" w:ascii="仿宋_GB2312" w:hAnsi="宋体" w:eastAsia="仿宋_GB2312" w:cs="宋体"/>
          <w:color w:val="000000" w:themeColor="text1"/>
          <w:kern w:val="0"/>
          <w:sz w:val="32"/>
          <w:szCs w:val="32"/>
          <w14:textFill>
            <w14:solidFill>
              <w14:schemeClr w14:val="tx1"/>
            </w14:solidFill>
          </w14:textFill>
        </w:rPr>
        <w:t>13</w:t>
      </w:r>
      <w:r>
        <w:rPr>
          <w:rFonts w:ascii="仿宋_GB2312" w:hAnsi="宋体" w:eastAsia="仿宋_GB2312" w:cs="宋体"/>
          <w:color w:val="000000" w:themeColor="text1"/>
          <w:kern w:val="0"/>
          <w:sz w:val="32"/>
          <w:szCs w:val="32"/>
          <w14:textFill>
            <w14:solidFill>
              <w14:schemeClr w14:val="tx1"/>
            </w14:solidFill>
          </w14:textFill>
        </w:rPr>
        <w:t>款）行政运行（</w:t>
      </w:r>
      <w:r>
        <w:rPr>
          <w:rFonts w:hint="eastAsia" w:ascii="仿宋_GB2312" w:hAnsi="宋体" w:eastAsia="仿宋_GB2312" w:cs="宋体"/>
          <w:color w:val="000000" w:themeColor="text1"/>
          <w:kern w:val="0"/>
          <w:sz w:val="32"/>
          <w:szCs w:val="32"/>
          <w14:textFill>
            <w14:solidFill>
              <w14:schemeClr w14:val="tx1"/>
            </w14:solidFill>
          </w14:textFill>
        </w:rPr>
        <w:tab/>
      </w:r>
      <w:r>
        <w:rPr>
          <w:rFonts w:hint="eastAsia" w:ascii="仿宋_GB2312" w:hAnsi="宋体" w:eastAsia="仿宋_GB2312" w:cs="宋体"/>
          <w:color w:val="000000" w:themeColor="text1"/>
          <w:kern w:val="0"/>
          <w:sz w:val="32"/>
          <w:szCs w:val="32"/>
          <w14:textFill>
            <w14:solidFill>
              <w14:schemeClr w14:val="tx1"/>
            </w14:solidFill>
          </w14:textFill>
        </w:rPr>
        <w:t>01</w:t>
      </w:r>
      <w:r>
        <w:rPr>
          <w:rFonts w:ascii="仿宋_GB2312" w:hAnsi="宋体" w:eastAsia="仿宋_GB2312" w:cs="宋体"/>
          <w:color w:val="000000" w:themeColor="text1"/>
          <w:kern w:val="0"/>
          <w:sz w:val="32"/>
          <w:szCs w:val="32"/>
          <w14:textFill>
            <w14:solidFill>
              <w14:schemeClr w14:val="tx1"/>
            </w14:solidFill>
          </w14:textFill>
        </w:rPr>
        <w:t>项）:</w:t>
      </w:r>
      <w:r>
        <w:rPr>
          <w:rFonts w:hint="eastAsia" w:ascii="仿宋_GB2312" w:hAnsi="宋体" w:eastAsia="仿宋_GB2312" w:cs="宋体"/>
          <w:color w:val="000000" w:themeColor="text1"/>
          <w:kern w:val="0"/>
          <w:sz w:val="32"/>
          <w:szCs w:val="32"/>
          <w14:textFill>
            <w14:solidFill>
              <w14:schemeClr w14:val="tx1"/>
            </w14:solidFill>
          </w14:textFill>
        </w:rPr>
        <w:t>2021</w:t>
      </w:r>
      <w:r>
        <w:rPr>
          <w:rFonts w:ascii="仿宋_GB2312" w:hAnsi="宋体" w:eastAsia="仿宋_GB2312" w:cs="宋体"/>
          <w:color w:val="000000" w:themeColor="text1"/>
          <w:kern w:val="0"/>
          <w:sz w:val="32"/>
          <w:szCs w:val="32"/>
          <w14:textFill>
            <w14:solidFill>
              <w14:schemeClr w14:val="tx1"/>
            </w14:solidFill>
          </w14:textFill>
        </w:rPr>
        <w:t>年预算数为</w:t>
      </w:r>
      <w:r>
        <w:rPr>
          <w:rFonts w:hint="eastAsia" w:ascii="仿宋_GB2312" w:hAnsi="宋体" w:eastAsia="仿宋_GB2312" w:cs="宋体"/>
          <w:color w:val="000000" w:themeColor="text1"/>
          <w:kern w:val="0"/>
          <w:sz w:val="32"/>
          <w:szCs w:val="32"/>
          <w14:textFill>
            <w14:solidFill>
              <w14:schemeClr w14:val="tx1"/>
            </w14:solidFill>
          </w14:textFill>
        </w:rPr>
        <w:t>315.25</w:t>
      </w:r>
      <w:r>
        <w:rPr>
          <w:rFonts w:ascii="仿宋_GB2312" w:hAnsi="宋体" w:eastAsia="仿宋_GB2312" w:cs="宋体"/>
          <w:color w:val="000000" w:themeColor="text1"/>
          <w:kern w:val="0"/>
          <w:sz w:val="32"/>
          <w:szCs w:val="32"/>
          <w14:textFill>
            <w14:solidFill>
              <w14:schemeClr w14:val="tx1"/>
            </w14:solidFill>
          </w14:textFill>
        </w:rPr>
        <w:t>万元，</w:t>
      </w:r>
      <w:r>
        <w:rPr>
          <w:rFonts w:hint="eastAsia" w:ascii="仿宋_GB2312" w:hAnsi="宋体" w:eastAsia="仿宋_GB2312" w:cs="宋体"/>
          <w:color w:val="000000" w:themeColor="text1"/>
          <w:kern w:val="0"/>
          <w:sz w:val="32"/>
          <w:szCs w:val="32"/>
          <w14:textFill>
            <w14:solidFill>
              <w14:schemeClr w14:val="tx1"/>
            </w14:solidFill>
          </w14:textFill>
        </w:rPr>
        <w:t>比上年预算数减少51.14万元，下降14%，主要原因是：在职人员减少1人。科目款项发生变化。</w:t>
      </w:r>
    </w:p>
    <w:p>
      <w:pPr>
        <w:spacing w:line="560" w:lineRule="exact"/>
        <w:ind w:firstLine="640" w:firstLineChars="200"/>
        <w:rPr>
          <w:rFonts w:ascii="仿宋_GB2312" w:hAnsi="宋体" w:eastAsia="仿宋_GB2312" w:cs="宋体"/>
          <w:color w:val="000000" w:themeColor="text1"/>
          <w:kern w:val="0"/>
          <w:sz w:val="32"/>
          <w:szCs w:val="32"/>
          <w14:textFill>
            <w14:solidFill>
              <w14:schemeClr w14:val="tx1"/>
            </w14:solidFill>
          </w14:textFill>
        </w:rPr>
      </w:pPr>
      <w:r>
        <w:rPr>
          <w:rFonts w:hint="eastAsia" w:ascii="仿宋_GB2312" w:hAnsi="宋体" w:eastAsia="仿宋_GB2312" w:cs="宋体"/>
          <w:color w:val="000000" w:themeColor="text1"/>
          <w:kern w:val="0"/>
          <w:sz w:val="32"/>
          <w:szCs w:val="32"/>
          <w14:textFill>
            <w14:solidFill>
              <w14:schemeClr w14:val="tx1"/>
            </w14:solidFill>
          </w14:textFill>
        </w:rPr>
        <w:t>2.机关事业单位基本养老保险缴费支出31.85万元；比上年预算数减少0.77万元，下降2.3%，主要原因是：在职人员减少1人。</w:t>
      </w:r>
    </w:p>
    <w:p>
      <w:pPr>
        <w:spacing w:line="560" w:lineRule="exact"/>
        <w:ind w:firstLine="640" w:firstLineChars="200"/>
        <w:rPr>
          <w:rFonts w:ascii="仿宋_GB2312" w:hAnsi="宋体" w:eastAsia="仿宋_GB2312" w:cs="宋体"/>
          <w:color w:val="000000" w:themeColor="text1"/>
          <w:kern w:val="0"/>
          <w:sz w:val="32"/>
          <w:szCs w:val="32"/>
          <w14:textFill>
            <w14:solidFill>
              <w14:schemeClr w14:val="tx1"/>
            </w14:solidFill>
          </w14:textFill>
        </w:rPr>
      </w:pPr>
      <w:r>
        <w:rPr>
          <w:rFonts w:hint="eastAsia" w:ascii="仿宋_GB2312" w:hAnsi="宋体" w:eastAsia="仿宋_GB2312" w:cs="宋体"/>
          <w:color w:val="000000" w:themeColor="text1"/>
          <w:kern w:val="0"/>
          <w:sz w:val="32"/>
          <w:szCs w:val="32"/>
          <w14:textFill>
            <w14:solidFill>
              <w14:schemeClr w14:val="tx1"/>
            </w14:solidFill>
          </w14:textFill>
        </w:rPr>
        <w:t>3.公务员医疗补助7.99万元；比上年预算数增加0.12万元，上升1.5%，主要原因是：公务员医疗补助增加。</w:t>
      </w:r>
    </w:p>
    <w:p>
      <w:pPr>
        <w:spacing w:line="560" w:lineRule="exact"/>
        <w:ind w:firstLine="640" w:firstLineChars="200"/>
        <w:rPr>
          <w:rFonts w:ascii="仿宋_GB2312" w:hAnsi="宋体" w:eastAsia="仿宋_GB2312" w:cs="宋体"/>
          <w:color w:val="000000" w:themeColor="text1"/>
          <w:kern w:val="0"/>
          <w:sz w:val="32"/>
          <w:szCs w:val="32"/>
          <w14:textFill>
            <w14:solidFill>
              <w14:schemeClr w14:val="tx1"/>
            </w14:solidFill>
          </w14:textFill>
        </w:rPr>
      </w:pPr>
      <w:r>
        <w:rPr>
          <w:rFonts w:hint="eastAsia" w:ascii="仿宋_GB2312" w:hAnsi="宋体" w:eastAsia="仿宋_GB2312" w:cs="宋体"/>
          <w:color w:val="000000" w:themeColor="text1"/>
          <w:kern w:val="0"/>
          <w:sz w:val="32"/>
          <w:szCs w:val="32"/>
          <w14:textFill>
            <w14:solidFill>
              <w14:schemeClr w14:val="tx1"/>
            </w14:solidFill>
          </w14:textFill>
        </w:rPr>
        <w:t>4.招商引资10万元，与上年持平。</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color w:val="000000" w:themeColor="text1"/>
          <w:kern w:val="0"/>
          <w:sz w:val="32"/>
          <w:szCs w:val="32"/>
          <w14:textFill>
            <w14:solidFill>
              <w14:schemeClr w14:val="tx1"/>
            </w14:solidFill>
          </w14:textFill>
        </w:rPr>
        <w:t>5.其他商贸事务支出50万元，比</w:t>
      </w:r>
      <w:r>
        <w:rPr>
          <w:rFonts w:hint="eastAsia" w:ascii="仿宋_GB2312" w:hAnsi="宋体" w:eastAsia="仿宋_GB2312" w:cs="宋体"/>
          <w:kern w:val="0"/>
          <w:sz w:val="32"/>
          <w:szCs w:val="32"/>
        </w:rPr>
        <w:t>上年增加50万元，增长100%，主要原因是增加一个项目任务《昌吉州现代物流业发展“十四五”规划》，经费增加50万元。</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六、关于</w:t>
      </w:r>
      <w:r>
        <w:rPr>
          <w:rFonts w:hint="eastAsia" w:ascii="黑体" w:hAnsi="黑体" w:eastAsia="黑体"/>
          <w:kern w:val="0"/>
          <w:sz w:val="32"/>
          <w:szCs w:val="32"/>
        </w:rPr>
        <w:t>昌吉州商务局2021</w:t>
      </w:r>
      <w:r>
        <w:rPr>
          <w:rFonts w:hint="eastAsia" w:ascii="黑体" w:hAnsi="宋体" w:eastAsia="黑体" w:cs="宋体"/>
          <w:kern w:val="0"/>
          <w:sz w:val="32"/>
          <w:szCs w:val="32"/>
        </w:rPr>
        <w:t>年一般公共预算基本支出情况说明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昌吉州商务局2021年一般公共预算基本支出355.09万元，其中：</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人员经费321.75万元，主要包括：基本工资、津贴补贴、奖金、伙食补助费、机关事业单位基本养老保险缴费、职工基本医疗保险缴费、公务员医疗补助缴费、住房公积金、其他工资福利支出、其他对个人和家庭的补助等。</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公用经费33.34万元，主要包括：印刷费、水费、电费、邮电费、差旅费、维修（护）费、租赁费、公务接待费、工会经费、福利费、公务用车运行维护费、其他商品和服务支出等。</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七、关于昌吉州商务局2021年一般公共预算项目支出情况说明</w:t>
      </w:r>
    </w:p>
    <w:p>
      <w:pPr>
        <w:widowControl/>
        <w:spacing w:line="580" w:lineRule="exact"/>
        <w:ind w:firstLine="640"/>
        <w:jc w:val="left"/>
        <w:rPr>
          <w:rFonts w:ascii="仿宋_GB2312" w:hAnsi="黑体" w:eastAsia="仿宋_GB2312"/>
          <w:sz w:val="32"/>
          <w:szCs w:val="32"/>
        </w:rPr>
      </w:pPr>
      <w:r>
        <w:rPr>
          <w:rFonts w:hint="eastAsia" w:ascii="仿宋_GB2312" w:hAnsi="黑体" w:eastAsia="仿宋_GB2312"/>
          <w:sz w:val="32"/>
          <w:szCs w:val="32"/>
        </w:rPr>
        <w:t>1、项目</w:t>
      </w:r>
      <w:r>
        <w:rPr>
          <w:rFonts w:ascii="仿宋_GB2312" w:hAnsi="黑体" w:eastAsia="仿宋_GB2312"/>
          <w:sz w:val="32"/>
          <w:szCs w:val="32"/>
        </w:rPr>
        <w:t>名称</w:t>
      </w:r>
      <w:r>
        <w:rPr>
          <w:rFonts w:hint="eastAsia" w:ascii="仿宋_GB2312" w:hAnsi="黑体" w:eastAsia="仿宋_GB2312"/>
          <w:sz w:val="32"/>
          <w:szCs w:val="32"/>
        </w:rPr>
        <w:t>：招商引资工作业务经费</w:t>
      </w:r>
    </w:p>
    <w:p>
      <w:pPr>
        <w:widowControl/>
        <w:spacing w:line="580" w:lineRule="exact"/>
        <w:ind w:firstLine="640"/>
        <w:jc w:val="left"/>
        <w:rPr>
          <w:rFonts w:ascii="仿宋_GB2312" w:hAnsi="黑体" w:eastAsia="仿宋_GB2312"/>
          <w:sz w:val="32"/>
          <w:szCs w:val="32"/>
        </w:rPr>
      </w:pPr>
      <w:r>
        <w:rPr>
          <w:rFonts w:hint="eastAsia" w:ascii="仿宋_GB2312" w:hAnsi="黑体" w:eastAsia="仿宋_GB2312"/>
          <w:sz w:val="32"/>
          <w:szCs w:val="32"/>
        </w:rPr>
        <w:t>设立的政策依据：2011年财经领导小组会议记录</w:t>
      </w:r>
    </w:p>
    <w:p>
      <w:pPr>
        <w:widowControl/>
        <w:spacing w:line="580" w:lineRule="exact"/>
        <w:ind w:firstLine="640"/>
        <w:jc w:val="left"/>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 w:hAnsi="仿宋" w:eastAsia="仿宋" w:cs="宋体"/>
          <w:kern w:val="0"/>
          <w:sz w:val="32"/>
          <w:szCs w:val="32"/>
        </w:rPr>
        <w:t>10万元</w:t>
      </w:r>
    </w:p>
    <w:p>
      <w:pPr>
        <w:widowControl/>
        <w:spacing w:line="580" w:lineRule="exact"/>
        <w:ind w:firstLine="640"/>
        <w:jc w:val="left"/>
        <w:rPr>
          <w:rFonts w:ascii="仿宋" w:hAnsi="仿宋" w:eastAsia="仿宋" w:cs="宋体"/>
          <w:color w:val="000000"/>
          <w:kern w:val="0"/>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 w:hAnsi="仿宋" w:eastAsia="仿宋" w:cs="宋体"/>
          <w:color w:val="000000"/>
          <w:kern w:val="0"/>
          <w:sz w:val="32"/>
          <w:szCs w:val="32"/>
        </w:rPr>
        <w:t>昌吉州商务局</w:t>
      </w:r>
    </w:p>
    <w:p>
      <w:pPr>
        <w:widowControl/>
        <w:spacing w:line="580" w:lineRule="exact"/>
        <w:ind w:firstLine="640"/>
        <w:jc w:val="left"/>
        <w:rPr>
          <w:rFonts w:ascii="仿宋" w:hAnsi="仿宋" w:eastAsia="仿宋" w:cs="Arial"/>
          <w:sz w:val="32"/>
          <w:szCs w:val="32"/>
        </w:rPr>
      </w:pPr>
      <w:r>
        <w:rPr>
          <w:rFonts w:ascii="仿宋_GB2312" w:hAnsi="黑体" w:eastAsia="仿宋_GB2312"/>
          <w:sz w:val="32"/>
          <w:szCs w:val="32"/>
        </w:rPr>
        <w:t>资金分配情况</w:t>
      </w:r>
      <w:r>
        <w:rPr>
          <w:rFonts w:hint="eastAsia" w:ascii="仿宋_GB2312" w:hAnsi="黑体" w:eastAsia="仿宋_GB2312"/>
          <w:sz w:val="32"/>
          <w:szCs w:val="32"/>
        </w:rPr>
        <w:t>：招商引资工作项目</w:t>
      </w:r>
      <w:r>
        <w:rPr>
          <w:rFonts w:hint="eastAsia" w:ascii="仿宋" w:hAnsi="仿宋" w:eastAsia="仿宋" w:cs="Arial"/>
          <w:sz w:val="32"/>
          <w:szCs w:val="32"/>
        </w:rPr>
        <w:t>经费-商品和服务支出10万元</w:t>
      </w:r>
    </w:p>
    <w:p>
      <w:pPr>
        <w:widowControl/>
        <w:spacing w:line="580" w:lineRule="exact"/>
        <w:ind w:firstLine="640"/>
        <w:jc w:val="left"/>
        <w:rPr>
          <w:rFonts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 w:hAnsi="仿宋" w:eastAsia="仿宋"/>
          <w:color w:val="2B2B2B"/>
          <w:sz w:val="32"/>
          <w:szCs w:val="32"/>
        </w:rPr>
        <w:t>2021</w:t>
      </w:r>
      <w:r>
        <w:rPr>
          <w:rFonts w:ascii="仿宋" w:hAnsi="仿宋" w:eastAsia="仿宋"/>
          <w:color w:val="2B2B2B"/>
          <w:sz w:val="32"/>
          <w:szCs w:val="32"/>
        </w:rPr>
        <w:t>年1月1日</w:t>
      </w:r>
      <w:r>
        <w:rPr>
          <w:rFonts w:hint="eastAsia" w:ascii="仿宋" w:hAnsi="仿宋" w:eastAsia="仿宋"/>
          <w:color w:val="2B2B2B"/>
          <w:sz w:val="32"/>
          <w:szCs w:val="32"/>
        </w:rPr>
        <w:t>—2021</w:t>
      </w:r>
      <w:r>
        <w:rPr>
          <w:rFonts w:ascii="仿宋" w:hAnsi="仿宋" w:eastAsia="仿宋"/>
          <w:color w:val="2B2B2B"/>
          <w:sz w:val="32"/>
          <w:szCs w:val="32"/>
        </w:rPr>
        <w:t>年12月31日</w:t>
      </w:r>
    </w:p>
    <w:p>
      <w:pPr>
        <w:widowControl/>
        <w:spacing w:line="580" w:lineRule="exact"/>
        <w:ind w:firstLine="640"/>
        <w:jc w:val="left"/>
        <w:rPr>
          <w:rFonts w:ascii="仿宋_GB2312" w:hAnsi="黑体" w:eastAsia="仿宋_GB2312"/>
          <w:sz w:val="32"/>
          <w:szCs w:val="32"/>
        </w:rPr>
      </w:pPr>
      <w:r>
        <w:rPr>
          <w:rFonts w:hint="eastAsia" w:ascii="仿宋_GB2312" w:hAnsi="黑体" w:eastAsia="仿宋_GB2312"/>
          <w:sz w:val="32"/>
          <w:szCs w:val="32"/>
        </w:rPr>
        <w:t>2、项目</w:t>
      </w:r>
      <w:r>
        <w:rPr>
          <w:rFonts w:ascii="仿宋_GB2312" w:hAnsi="黑体" w:eastAsia="仿宋_GB2312"/>
          <w:sz w:val="32"/>
          <w:szCs w:val="32"/>
        </w:rPr>
        <w:t>名称</w:t>
      </w:r>
      <w:r>
        <w:rPr>
          <w:rFonts w:hint="eastAsia" w:ascii="仿宋_GB2312" w:hAnsi="黑体" w:eastAsia="仿宋_GB2312"/>
          <w:sz w:val="32"/>
          <w:szCs w:val="32"/>
        </w:rPr>
        <w:t>：昌吉州现代物流业发展“十四五”规划</w:t>
      </w:r>
    </w:p>
    <w:p>
      <w:pPr>
        <w:widowControl/>
        <w:spacing w:line="580" w:lineRule="exact"/>
        <w:ind w:firstLine="640"/>
        <w:jc w:val="left"/>
        <w:rPr>
          <w:rFonts w:ascii="仿宋_GB2312" w:hAnsi="黑体" w:eastAsia="仿宋_GB2312"/>
          <w:sz w:val="32"/>
          <w:szCs w:val="32"/>
        </w:rPr>
      </w:pPr>
      <w:r>
        <w:rPr>
          <w:rFonts w:hint="eastAsia" w:ascii="仿宋_GB2312" w:hAnsi="黑体" w:eastAsia="仿宋_GB2312"/>
          <w:sz w:val="32"/>
          <w:szCs w:val="32"/>
        </w:rPr>
        <w:t>设立的政策依据：2021年财经领导小组会议记录</w:t>
      </w:r>
    </w:p>
    <w:p>
      <w:pPr>
        <w:widowControl/>
        <w:spacing w:line="580" w:lineRule="exact"/>
        <w:ind w:firstLine="640"/>
        <w:jc w:val="left"/>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 w:hAnsi="仿宋" w:eastAsia="仿宋" w:cs="宋体"/>
          <w:kern w:val="0"/>
          <w:sz w:val="32"/>
          <w:szCs w:val="32"/>
        </w:rPr>
        <w:t>50万元</w:t>
      </w:r>
    </w:p>
    <w:p>
      <w:pPr>
        <w:widowControl/>
        <w:spacing w:line="580" w:lineRule="exact"/>
        <w:ind w:firstLine="640"/>
        <w:jc w:val="left"/>
        <w:rPr>
          <w:rFonts w:ascii="仿宋" w:hAnsi="仿宋" w:eastAsia="仿宋" w:cs="宋体"/>
          <w:color w:val="000000"/>
          <w:kern w:val="0"/>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 w:hAnsi="仿宋" w:eastAsia="仿宋" w:cs="宋体"/>
          <w:color w:val="000000"/>
          <w:kern w:val="0"/>
          <w:sz w:val="32"/>
          <w:szCs w:val="32"/>
        </w:rPr>
        <w:t>昌吉州商务局</w:t>
      </w:r>
    </w:p>
    <w:p>
      <w:pPr>
        <w:widowControl/>
        <w:spacing w:line="580" w:lineRule="exact"/>
        <w:ind w:firstLine="640"/>
        <w:jc w:val="left"/>
        <w:rPr>
          <w:rFonts w:ascii="仿宋" w:hAnsi="仿宋" w:eastAsia="仿宋" w:cs="Arial"/>
          <w:sz w:val="32"/>
          <w:szCs w:val="32"/>
        </w:rPr>
      </w:pPr>
      <w:r>
        <w:rPr>
          <w:rFonts w:ascii="仿宋_GB2312" w:hAnsi="黑体" w:eastAsia="仿宋_GB2312"/>
          <w:sz w:val="32"/>
          <w:szCs w:val="32"/>
        </w:rPr>
        <w:t>资金分配情况</w:t>
      </w:r>
      <w:r>
        <w:rPr>
          <w:rFonts w:hint="eastAsia" w:ascii="仿宋_GB2312" w:hAnsi="黑体" w:eastAsia="仿宋_GB2312"/>
          <w:sz w:val="32"/>
          <w:szCs w:val="32"/>
        </w:rPr>
        <w:t>：昌吉州现代物流业发展“十四五”规划</w:t>
      </w:r>
      <w:r>
        <w:rPr>
          <w:rFonts w:hint="eastAsia" w:ascii="仿宋" w:hAnsi="仿宋" w:eastAsia="仿宋" w:cs="Arial"/>
          <w:sz w:val="32"/>
          <w:szCs w:val="32"/>
        </w:rPr>
        <w:t>-商品和服务支出50万元</w:t>
      </w:r>
    </w:p>
    <w:p>
      <w:pPr>
        <w:widowControl/>
        <w:spacing w:line="580" w:lineRule="exact"/>
        <w:ind w:firstLine="640"/>
        <w:jc w:val="left"/>
        <w:rPr>
          <w:rFonts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 w:hAnsi="仿宋" w:eastAsia="仿宋"/>
          <w:color w:val="2B2B2B"/>
          <w:sz w:val="32"/>
          <w:szCs w:val="32"/>
        </w:rPr>
        <w:t>2021</w:t>
      </w:r>
      <w:r>
        <w:rPr>
          <w:rFonts w:ascii="仿宋" w:hAnsi="仿宋" w:eastAsia="仿宋"/>
          <w:color w:val="2B2B2B"/>
          <w:sz w:val="32"/>
          <w:szCs w:val="32"/>
        </w:rPr>
        <w:t>年1月1日</w:t>
      </w:r>
      <w:r>
        <w:rPr>
          <w:rFonts w:hint="eastAsia" w:ascii="仿宋" w:hAnsi="仿宋" w:eastAsia="仿宋"/>
          <w:color w:val="2B2B2B"/>
          <w:sz w:val="32"/>
          <w:szCs w:val="32"/>
        </w:rPr>
        <w:t>—2021</w:t>
      </w:r>
      <w:r>
        <w:rPr>
          <w:rFonts w:ascii="仿宋" w:hAnsi="仿宋" w:eastAsia="仿宋"/>
          <w:color w:val="2B2B2B"/>
          <w:sz w:val="32"/>
          <w:szCs w:val="32"/>
        </w:rPr>
        <w:t>年12月31日</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八、关于昌吉州商务局2021年一般公共预算“三公”经费预算情况说明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昌吉州商务局2021年一般公共预算“三公”经费数为10.8万元，其中：因公出国（境）费0万元，公务用车购置0万元，公务用车运行费7.15万元，公务接待费3.65万元。</w:t>
      </w:r>
    </w:p>
    <w:p>
      <w:pPr>
        <w:spacing w:line="560" w:lineRule="exact"/>
        <w:ind w:firstLine="640" w:firstLineChars="200"/>
        <w:rPr>
          <w:rFonts w:ascii="仿宋_GB2312" w:hAnsi="宋体" w:eastAsia="仿宋_GB2312" w:cs="宋体"/>
          <w:color w:val="000000" w:themeColor="text1"/>
          <w:kern w:val="0"/>
          <w:sz w:val="32"/>
          <w:szCs w:val="32"/>
          <w14:textFill>
            <w14:solidFill>
              <w14:schemeClr w14:val="tx1"/>
            </w14:solidFill>
          </w14:textFill>
        </w:rPr>
      </w:pPr>
      <w:r>
        <w:rPr>
          <w:rFonts w:hint="eastAsia" w:ascii="仿宋_GB2312" w:hAnsi="宋体" w:eastAsia="仿宋_GB2312" w:cs="宋体"/>
          <w:kern w:val="0"/>
          <w:sz w:val="32"/>
          <w:szCs w:val="32"/>
        </w:rPr>
        <w:t>2021年一般公共预算“三公”经费比上年增加5.79万元，其中：因公出国（境）费增加（减少）0万元，未安排预算；公务用车购置费为0万元，未安排预算。公务用车运行费增加2.79万元，</w:t>
      </w:r>
      <w:r>
        <w:rPr>
          <w:rFonts w:hint="eastAsia" w:ascii="仿宋_GB2312" w:hAnsi="宋体" w:eastAsia="仿宋_GB2312" w:cs="宋体"/>
          <w:color w:val="000000" w:themeColor="text1"/>
          <w:kern w:val="0"/>
          <w:sz w:val="32"/>
          <w:szCs w:val="32"/>
          <w14:textFill>
            <w14:solidFill>
              <w14:schemeClr w14:val="tx1"/>
            </w14:solidFill>
          </w14:textFill>
        </w:rPr>
        <w:t>主要原因是招商引资车辆保障、疫情常态化下的物资保供；公务接待费增加3万元，主要原因是做好疫情防控的同时完成招商引资任务，馕产业产销对接等接待任务。</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九、关于昌吉州商务局2021年政府性基金预算拨款情况说明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昌吉州商务局2021年没有使用政府性基金预算拨款安排的支出，政府性基金预算支出情况表为空表。</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十、其他重要事项的情况说明</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（一）机关运行经费情况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2021年，昌吉州商务局的机关运行经费财政拨款预算33.34万元，比上年预算减少2.7万元，下降7.5%。主要原因是在职人数减少1人。</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（二）政府采购情况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2021年，昌吉州商务局政府采购预算128.92万元，其中：政府采购货物预算10.92万元，政府采购工程预算40万元，政府采购服务预算82.32万元。</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（三）国有资产占用使用情况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截至2020年底，昌吉州商务局占用使用国有资产总体情况为</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1.房屋841平方米，价值11.56万元。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2.车辆4辆，价值88.05万元；其中：一般公务用车4辆，价值88.05万元；执法执勤用车0辆，价值0万元；其他车辆0辆，价值0万元。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3.办公家具价值28.23万元。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4.其他资产价值91.38万元。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单位价值50万元以上大型设备0台（套），单位价值100万元以上大型设备0台（套）。</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2021年昌吉州商务局部门预算未安排购置车辆经费，安排购置50万元以上大型设备0台（套），单位价值100万元以上大型设备0台（套）。</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（四）预算绩效情况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2021年度，本年度实行绩效管理的一般公共预算项目   2个，涉及预算金额60万元。具体情况见下表（按项目分别填报）：</w:t>
      </w:r>
    </w:p>
    <w:p>
      <w:pPr>
        <w:spacing w:line="560" w:lineRule="exact"/>
        <w:ind w:firstLine="640" w:firstLineChars="200"/>
        <w:rPr>
          <w:rFonts w:ascii="仿宋_GB2312" w:hAnsi="宋体" w:eastAsia="仿宋_GB2312" w:cs="宋体"/>
          <w:kern w:val="0"/>
          <w:sz w:val="32"/>
          <w:szCs w:val="32"/>
        </w:rPr>
      </w:pPr>
    </w:p>
    <w:p>
      <w:pPr>
        <w:spacing w:line="560" w:lineRule="exact"/>
        <w:ind w:firstLine="640" w:firstLineChars="200"/>
        <w:rPr>
          <w:rFonts w:ascii="仿宋_GB2312" w:hAnsi="宋体" w:eastAsia="仿宋_GB2312" w:cs="宋体"/>
          <w:kern w:val="0"/>
          <w:sz w:val="32"/>
          <w:szCs w:val="32"/>
        </w:rPr>
      </w:pPr>
    </w:p>
    <w:tbl>
      <w:tblPr>
        <w:tblStyle w:val="6"/>
        <w:tblW w:w="8815" w:type="dxa"/>
        <w:tblInd w:w="0" w:type="dxa"/>
        <w:tblLayout w:type="fixed"/>
        <w:tblCellMar>
          <w:top w:w="0" w:type="dxa"/>
          <w:left w:w="0" w:type="dxa"/>
          <w:bottom w:w="0" w:type="dxa"/>
          <w:right w:w="0" w:type="dxa"/>
        </w:tblCellMar>
      </w:tblPr>
      <w:tblGrid>
        <w:gridCol w:w="960"/>
        <w:gridCol w:w="1452"/>
        <w:gridCol w:w="1224"/>
        <w:gridCol w:w="1476"/>
        <w:gridCol w:w="1039"/>
        <w:gridCol w:w="1481"/>
        <w:gridCol w:w="1183"/>
      </w:tblGrid>
      <w:tr>
        <w:tblPrEx>
          <w:tblLayout w:type="fixed"/>
          <w:tblCellMar>
            <w:top w:w="0" w:type="dxa"/>
            <w:left w:w="0" w:type="dxa"/>
            <w:bottom w:w="0" w:type="dxa"/>
            <w:right w:w="0" w:type="dxa"/>
          </w:tblCellMar>
        </w:tblPrEx>
        <w:trPr>
          <w:trHeight w:val="480" w:hRule="atLeast"/>
        </w:trPr>
        <w:tc>
          <w:tcPr>
            <w:tcW w:w="8815" w:type="dxa"/>
            <w:gridSpan w:val="7"/>
            <w:tcBorders>
              <w:top w:val="nil"/>
              <w:left w:val="nil"/>
              <w:bottom w:val="nil"/>
              <w:right w:val="nil"/>
            </w:tcBorders>
            <w:noWrap/>
            <w:tcMar>
              <w:top w:w="12" w:type="dxa"/>
              <w:left w:w="12" w:type="dxa"/>
              <w:right w:w="12" w:type="dxa"/>
            </w:tcMar>
            <w:vAlign w:val="bottom"/>
          </w:tcPr>
          <w:p>
            <w:pPr>
              <w:widowControl/>
              <w:spacing w:line="480" w:lineRule="exact"/>
              <w:jc w:val="center"/>
              <w:textAlignment w:val="bottom"/>
              <w:rPr>
                <w:rFonts w:ascii="仿宋_GB2312" w:hAnsi="宋体" w:eastAsia="仿宋_GB2312" w:cs="仿宋_GB2312"/>
                <w:b/>
                <w:color w:val="000000"/>
                <w:kern w:val="0"/>
                <w:sz w:val="32"/>
                <w:szCs w:val="32"/>
                <w:lang w:bidi="ar"/>
              </w:rPr>
            </w:pPr>
          </w:p>
          <w:p>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lang w:bidi="ar"/>
              </w:rPr>
              <w:t>项  目  支  出  绩  效  目  标  表</w:t>
            </w:r>
          </w:p>
        </w:tc>
      </w:tr>
      <w:tr>
        <w:tblPrEx>
          <w:tblLayout w:type="fixed"/>
          <w:tblCellMar>
            <w:top w:w="0" w:type="dxa"/>
            <w:left w:w="0" w:type="dxa"/>
            <w:bottom w:w="0" w:type="dxa"/>
            <w:right w:w="0" w:type="dxa"/>
          </w:tblCellMar>
        </w:tblPrEx>
        <w:trPr>
          <w:trHeight w:val="380" w:hRule="atLeast"/>
        </w:trPr>
        <w:tc>
          <w:tcPr>
            <w:tcW w:w="8815" w:type="dxa"/>
            <w:gridSpan w:val="7"/>
            <w:tcBorders>
              <w:top w:val="nil"/>
              <w:left w:val="nil"/>
              <w:bottom w:val="nil"/>
              <w:right w:val="nil"/>
            </w:tcBorders>
            <w:noWrap/>
            <w:tcMar>
              <w:top w:w="12" w:type="dxa"/>
              <w:left w:w="12" w:type="dxa"/>
              <w:right w:w="12" w:type="dxa"/>
            </w:tcMar>
            <w:vAlign w:val="bottom"/>
          </w:tcPr>
          <w:p>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lang w:bidi="ar"/>
              </w:rPr>
              <w:t>（2021年）</w:t>
            </w:r>
          </w:p>
        </w:tc>
      </w:tr>
      <w:tr>
        <w:tblPrEx>
          <w:tblLayout w:type="fixed"/>
          <w:tblCellMar>
            <w:top w:w="0" w:type="dxa"/>
            <w:left w:w="0" w:type="dxa"/>
            <w:bottom w:w="0" w:type="dxa"/>
            <w:right w:w="0" w:type="dxa"/>
          </w:tblCellMar>
        </w:tblPrEx>
        <w:trPr>
          <w:trHeight w:val="5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预算单位</w:t>
            </w:r>
          </w:p>
        </w:tc>
        <w:tc>
          <w:tcPr>
            <w:tcW w:w="4152" w:type="dxa"/>
            <w:gridSpan w:val="3"/>
            <w:tcBorders>
              <w:top w:val="single" w:color="000000" w:sz="4" w:space="0"/>
              <w:left w:val="single" w:color="000000" w:sz="4" w:space="0"/>
              <w:bottom w:val="single" w:color="000000" w:sz="4" w:space="0"/>
              <w:right w:val="nil"/>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昌吉州商务局</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sz w:val="18"/>
                <w:szCs w:val="18"/>
              </w:rPr>
              <w:t>招商引资工作业务经费</w:t>
            </w:r>
          </w:p>
        </w:tc>
      </w:tr>
      <w:tr>
        <w:tblPrEx>
          <w:tblLayout w:type="fixed"/>
          <w:tblCellMar>
            <w:top w:w="0" w:type="dxa"/>
            <w:left w:w="0" w:type="dxa"/>
            <w:bottom w:w="0" w:type="dxa"/>
            <w:right w:w="0" w:type="dxa"/>
          </w:tblCellMar>
        </w:tblPrEx>
        <w:trPr>
          <w:trHeight w:val="5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项目资金（万元）</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年度资金总额：</w:t>
            </w:r>
          </w:p>
        </w:tc>
        <w:tc>
          <w:tcPr>
            <w:tcW w:w="122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10</w:t>
            </w: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10</w:t>
            </w:r>
          </w:p>
        </w:tc>
        <w:tc>
          <w:tcPr>
            <w:tcW w:w="14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0</w:t>
            </w:r>
          </w:p>
        </w:tc>
      </w:tr>
      <w:tr>
        <w:tblPrEx>
          <w:tblLayout w:type="fixed"/>
          <w:tblCellMar>
            <w:top w:w="0" w:type="dxa"/>
            <w:left w:w="0" w:type="dxa"/>
            <w:bottom w:w="0" w:type="dxa"/>
            <w:right w:w="0" w:type="dxa"/>
          </w:tblCellMar>
        </w:tblPrEx>
        <w:trPr>
          <w:trHeight w:val="11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项目总体目标</w:t>
            </w:r>
          </w:p>
        </w:tc>
        <w:tc>
          <w:tcPr>
            <w:tcW w:w="7855"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pPr>
              <w:spacing w:line="480" w:lineRule="exact"/>
              <w:jc w:val="left"/>
              <w:rPr>
                <w:rFonts w:ascii="宋体" w:hAnsi="宋体" w:cs="宋体"/>
                <w:color w:val="000000"/>
                <w:sz w:val="18"/>
                <w:szCs w:val="18"/>
              </w:rPr>
            </w:pPr>
            <w:r>
              <w:rPr>
                <w:rFonts w:hint="eastAsia" w:ascii="宋体" w:hAnsi="宋体" w:cs="宋体"/>
                <w:color w:val="000000"/>
                <w:sz w:val="18"/>
                <w:szCs w:val="18"/>
              </w:rPr>
              <w:t>负责自治州招商引资工作协调、组织、管理。执行自治区招商引资方针政策，编制招商引资发展规划和年度计划；组织和参与各类商务领域交易会、洽谈会、博览会、展览会和有关招商活动。负责外省市人民政府、企业驻自治州的办事机构和企业联合会（商会）招商引资及重大项目的引进落实。2021年走出去招商、参加招商展会3次；参加的招商活动项目签约5-10个，总投资金额约8000万元；保障本年度招商引资工作正常开展。</w:t>
            </w:r>
          </w:p>
        </w:tc>
      </w:tr>
      <w:tr>
        <w:tblPrEx>
          <w:tblLayout w:type="fixed"/>
          <w:tblCellMar>
            <w:top w:w="0" w:type="dxa"/>
            <w:left w:w="0" w:type="dxa"/>
            <w:bottom w:w="0" w:type="dxa"/>
            <w:right w:w="0" w:type="dxa"/>
          </w:tblCellMar>
        </w:tblPrEx>
        <w:trPr>
          <w:trHeight w:val="48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一级指标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二级指标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三级指标</w:t>
            </w:r>
          </w:p>
        </w:tc>
        <w:tc>
          <w:tcPr>
            <w:tcW w:w="2664" w:type="dxa"/>
            <w:gridSpan w:val="2"/>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指标值（包含数字及文字描述）</w:t>
            </w:r>
          </w:p>
        </w:tc>
      </w:tr>
      <w:tr>
        <w:tblPrEx>
          <w:tblLayout w:type="fixed"/>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产出指标</w:t>
            </w: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外出招商（次数）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≥3次</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参加招商展会（次数）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≥3次</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质量指标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招商活动项目签约个数完成率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≥90%</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招商活动项目签约金额完成率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≥80%</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时效指标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完成保障本年度招商引资工作正常运行需要时间</w:t>
            </w:r>
            <w:r>
              <w:rPr>
                <w:rFonts w:hint="eastAsia" w:ascii="宋体" w:hAnsi="宋体" w:cs="宋体"/>
                <w:color w:val="000000"/>
                <w:sz w:val="18"/>
                <w:szCs w:val="18"/>
              </w:rPr>
              <w:tab/>
            </w:r>
            <w:r>
              <w:rPr>
                <w:rFonts w:hint="eastAsia" w:ascii="宋体" w:hAnsi="宋体" w:cs="宋体"/>
                <w:color w:val="000000"/>
                <w:sz w:val="18"/>
                <w:szCs w:val="18"/>
              </w:rPr>
              <w:tab/>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1月-12月</w:t>
            </w:r>
            <w:r>
              <w:rPr>
                <w:rFonts w:hint="eastAsia" w:ascii="宋体" w:hAnsi="宋体" w:cs="宋体"/>
                <w:color w:val="000000"/>
                <w:sz w:val="18"/>
                <w:szCs w:val="18"/>
              </w:rPr>
              <w:tab/>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成本指标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left"/>
              <w:textAlignment w:val="center"/>
              <w:rPr>
                <w:rFonts w:ascii="宋体" w:hAnsi="宋体" w:cs="宋体"/>
                <w:color w:val="000000"/>
                <w:sz w:val="18"/>
                <w:szCs w:val="18"/>
              </w:rPr>
            </w:pPr>
            <w:r>
              <w:rPr>
                <w:rFonts w:ascii="Arial" w:hAnsi="Arial" w:cs="Arial"/>
                <w:color w:val="000000"/>
                <w:kern w:val="0"/>
                <w:sz w:val="20"/>
                <w:szCs w:val="20"/>
                <w:lang w:bidi="ar"/>
              </w:rPr>
              <w:t>保障本年度招商引资工作正常运行经费（万元）</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24"/>
                <w:lang w:bidi="ar"/>
              </w:rPr>
              <w:t>10万元</w:t>
            </w:r>
          </w:p>
        </w:tc>
      </w:tr>
      <w:tr>
        <w:tblPrEx>
          <w:tblLayout w:type="fixed"/>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效益指标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经济效益指标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left"/>
              <w:textAlignment w:val="center"/>
              <w:rPr>
                <w:rFonts w:ascii="宋体" w:hAnsi="宋体" w:cs="宋体"/>
                <w:color w:val="000000"/>
                <w:sz w:val="18"/>
                <w:szCs w:val="18"/>
              </w:rPr>
            </w:pPr>
            <w:r>
              <w:rPr>
                <w:rFonts w:ascii="Arial" w:hAnsi="Arial" w:cs="Arial"/>
                <w:color w:val="000000"/>
                <w:kern w:val="0"/>
                <w:sz w:val="20"/>
                <w:szCs w:val="20"/>
                <w:lang w:bidi="ar"/>
              </w:rPr>
              <w:t>项目签约带来的总投资金额</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24"/>
                <w:lang w:bidi="ar"/>
              </w:rPr>
              <w:t>≥8000万元</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可持续影响指标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left"/>
              <w:textAlignment w:val="center"/>
              <w:rPr>
                <w:rFonts w:ascii="宋体" w:hAnsi="宋体" w:cs="宋体"/>
                <w:color w:val="000000"/>
                <w:sz w:val="18"/>
                <w:szCs w:val="18"/>
              </w:rPr>
            </w:pPr>
            <w:r>
              <w:rPr>
                <w:rFonts w:ascii="Arial" w:hAnsi="Arial" w:cs="Arial"/>
                <w:color w:val="000000"/>
                <w:kern w:val="0"/>
                <w:sz w:val="20"/>
                <w:szCs w:val="20"/>
                <w:lang w:bidi="ar"/>
              </w:rPr>
              <w:t>长期保障工作平稳进行</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24"/>
                <w:lang w:bidi="ar"/>
              </w:rPr>
              <w:t>长期</w:t>
            </w:r>
          </w:p>
        </w:tc>
      </w:tr>
      <w:tr>
        <w:tblPrEx>
          <w:tblLayout w:type="fixed"/>
          <w:tblCellMar>
            <w:top w:w="0" w:type="dxa"/>
            <w:left w:w="0" w:type="dxa"/>
            <w:bottom w:w="0" w:type="dxa"/>
            <w:right w:w="0" w:type="dxa"/>
          </w:tblCellMar>
        </w:tblPrEx>
        <w:trPr>
          <w:trHeight w:val="4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left"/>
              <w:textAlignment w:val="center"/>
              <w:rPr>
                <w:rFonts w:ascii="宋体" w:hAnsi="宋体" w:cs="宋体"/>
                <w:color w:val="000000"/>
                <w:sz w:val="18"/>
                <w:szCs w:val="18"/>
              </w:rPr>
            </w:pPr>
            <w:r>
              <w:rPr>
                <w:rFonts w:ascii="Arial" w:hAnsi="Arial" w:cs="Arial"/>
                <w:color w:val="000000"/>
                <w:kern w:val="0"/>
                <w:sz w:val="20"/>
                <w:szCs w:val="20"/>
                <w:lang w:bidi="ar"/>
              </w:rPr>
              <w:t>客商满意度</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24"/>
                <w:lang w:bidi="ar"/>
              </w:rPr>
              <w:t>≥90%</w:t>
            </w:r>
          </w:p>
        </w:tc>
      </w:tr>
    </w:tbl>
    <w:p>
      <w:pPr>
        <w:widowControl/>
        <w:spacing w:line="480" w:lineRule="exact"/>
        <w:rPr>
          <w:rFonts w:ascii="仿宋_GB2312" w:hAnsi="宋体" w:eastAsia="仿宋_GB2312" w:cs="宋体"/>
          <w:kern w:val="0"/>
          <w:sz w:val="32"/>
          <w:szCs w:val="32"/>
        </w:rPr>
      </w:pPr>
    </w:p>
    <w:tbl>
      <w:tblPr>
        <w:tblStyle w:val="6"/>
        <w:tblW w:w="8815" w:type="dxa"/>
        <w:tblInd w:w="0" w:type="dxa"/>
        <w:tblLayout w:type="fixed"/>
        <w:tblCellMar>
          <w:top w:w="0" w:type="dxa"/>
          <w:left w:w="0" w:type="dxa"/>
          <w:bottom w:w="0" w:type="dxa"/>
          <w:right w:w="0" w:type="dxa"/>
        </w:tblCellMar>
      </w:tblPr>
      <w:tblGrid>
        <w:gridCol w:w="960"/>
        <w:gridCol w:w="1452"/>
        <w:gridCol w:w="1224"/>
        <w:gridCol w:w="1476"/>
        <w:gridCol w:w="1039"/>
        <w:gridCol w:w="1481"/>
        <w:gridCol w:w="1183"/>
      </w:tblGrid>
      <w:tr>
        <w:tblPrEx>
          <w:tblLayout w:type="fixed"/>
          <w:tblCellMar>
            <w:top w:w="0" w:type="dxa"/>
            <w:left w:w="0" w:type="dxa"/>
            <w:bottom w:w="0" w:type="dxa"/>
            <w:right w:w="0" w:type="dxa"/>
          </w:tblCellMar>
        </w:tblPrEx>
        <w:trPr>
          <w:trHeight w:val="480" w:hRule="atLeast"/>
        </w:trPr>
        <w:tc>
          <w:tcPr>
            <w:tcW w:w="8815" w:type="dxa"/>
            <w:gridSpan w:val="7"/>
            <w:tcBorders>
              <w:top w:val="nil"/>
              <w:left w:val="nil"/>
              <w:bottom w:val="nil"/>
              <w:right w:val="nil"/>
            </w:tcBorders>
            <w:noWrap/>
            <w:tcMar>
              <w:top w:w="12" w:type="dxa"/>
              <w:left w:w="12" w:type="dxa"/>
              <w:right w:w="12" w:type="dxa"/>
            </w:tcMar>
            <w:vAlign w:val="bottom"/>
          </w:tcPr>
          <w:p>
            <w:pPr>
              <w:widowControl/>
              <w:spacing w:line="480" w:lineRule="exact"/>
              <w:jc w:val="center"/>
              <w:textAlignment w:val="bottom"/>
              <w:rPr>
                <w:rFonts w:ascii="仿宋_GB2312" w:hAnsi="宋体" w:eastAsia="仿宋_GB2312" w:cs="仿宋_GB2312"/>
                <w:b/>
                <w:color w:val="000000"/>
                <w:kern w:val="0"/>
                <w:sz w:val="32"/>
                <w:szCs w:val="32"/>
                <w:lang w:bidi="ar"/>
              </w:rPr>
            </w:pPr>
          </w:p>
          <w:p>
            <w:pPr>
              <w:widowControl/>
              <w:spacing w:line="480" w:lineRule="exact"/>
              <w:jc w:val="center"/>
              <w:textAlignment w:val="bottom"/>
              <w:rPr>
                <w:rFonts w:ascii="仿宋_GB2312" w:hAnsi="宋体" w:eastAsia="仿宋_GB2312" w:cs="仿宋_GB2312"/>
                <w:b/>
                <w:color w:val="000000"/>
                <w:kern w:val="0"/>
                <w:sz w:val="32"/>
                <w:szCs w:val="32"/>
                <w:lang w:bidi="ar"/>
              </w:rPr>
            </w:pPr>
          </w:p>
          <w:p>
            <w:pPr>
              <w:widowControl/>
              <w:spacing w:line="480" w:lineRule="exact"/>
              <w:jc w:val="center"/>
              <w:textAlignment w:val="bottom"/>
              <w:rPr>
                <w:rFonts w:ascii="仿宋_GB2312" w:hAnsi="宋体" w:eastAsia="仿宋_GB2312" w:cs="仿宋_GB2312"/>
                <w:b/>
                <w:color w:val="000000"/>
                <w:kern w:val="0"/>
                <w:sz w:val="32"/>
                <w:szCs w:val="32"/>
                <w:lang w:bidi="ar"/>
              </w:rPr>
            </w:pPr>
          </w:p>
          <w:p>
            <w:pPr>
              <w:widowControl/>
              <w:spacing w:line="480" w:lineRule="exact"/>
              <w:jc w:val="center"/>
              <w:textAlignment w:val="bottom"/>
              <w:rPr>
                <w:rFonts w:ascii="仿宋_GB2312" w:hAnsi="宋体" w:eastAsia="仿宋_GB2312" w:cs="仿宋_GB2312"/>
                <w:b/>
                <w:color w:val="000000"/>
                <w:kern w:val="0"/>
                <w:sz w:val="32"/>
                <w:szCs w:val="32"/>
                <w:lang w:bidi="ar"/>
              </w:rPr>
            </w:pPr>
          </w:p>
          <w:p>
            <w:pPr>
              <w:widowControl/>
              <w:spacing w:line="480" w:lineRule="exact"/>
              <w:jc w:val="center"/>
              <w:textAlignment w:val="bottom"/>
              <w:rPr>
                <w:rFonts w:ascii="仿宋_GB2312" w:hAnsi="宋体" w:eastAsia="仿宋_GB2312" w:cs="仿宋_GB2312"/>
                <w:b/>
                <w:color w:val="000000"/>
                <w:kern w:val="0"/>
                <w:sz w:val="32"/>
                <w:szCs w:val="32"/>
                <w:lang w:bidi="ar"/>
              </w:rPr>
            </w:pPr>
          </w:p>
          <w:p>
            <w:pPr>
              <w:widowControl/>
              <w:spacing w:line="480" w:lineRule="exact"/>
              <w:jc w:val="center"/>
              <w:textAlignment w:val="bottom"/>
              <w:rPr>
                <w:rFonts w:ascii="仿宋_GB2312" w:hAnsi="宋体" w:eastAsia="仿宋_GB2312" w:cs="仿宋_GB2312"/>
                <w:b/>
                <w:color w:val="000000"/>
                <w:kern w:val="0"/>
                <w:sz w:val="32"/>
                <w:szCs w:val="32"/>
                <w:lang w:bidi="ar"/>
              </w:rPr>
            </w:pPr>
          </w:p>
          <w:p>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lang w:bidi="ar"/>
              </w:rPr>
              <w:t>项  目  支  出  绩  效  目  标  表</w:t>
            </w:r>
          </w:p>
        </w:tc>
      </w:tr>
      <w:tr>
        <w:tblPrEx>
          <w:tblLayout w:type="fixed"/>
          <w:tblCellMar>
            <w:top w:w="0" w:type="dxa"/>
            <w:left w:w="0" w:type="dxa"/>
            <w:bottom w:w="0" w:type="dxa"/>
            <w:right w:w="0" w:type="dxa"/>
          </w:tblCellMar>
        </w:tblPrEx>
        <w:trPr>
          <w:trHeight w:val="380" w:hRule="atLeast"/>
        </w:trPr>
        <w:tc>
          <w:tcPr>
            <w:tcW w:w="8815" w:type="dxa"/>
            <w:gridSpan w:val="7"/>
            <w:tcBorders>
              <w:top w:val="nil"/>
              <w:left w:val="nil"/>
              <w:bottom w:val="nil"/>
              <w:right w:val="nil"/>
            </w:tcBorders>
            <w:noWrap/>
            <w:tcMar>
              <w:top w:w="12" w:type="dxa"/>
              <w:left w:w="12" w:type="dxa"/>
              <w:right w:w="12" w:type="dxa"/>
            </w:tcMar>
            <w:vAlign w:val="bottom"/>
          </w:tcPr>
          <w:p>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lang w:bidi="ar"/>
              </w:rPr>
              <w:t>（2021年）</w:t>
            </w:r>
          </w:p>
        </w:tc>
      </w:tr>
      <w:tr>
        <w:tblPrEx>
          <w:tblLayout w:type="fixed"/>
          <w:tblCellMar>
            <w:top w:w="0" w:type="dxa"/>
            <w:left w:w="0" w:type="dxa"/>
            <w:bottom w:w="0" w:type="dxa"/>
            <w:right w:w="0" w:type="dxa"/>
          </w:tblCellMar>
        </w:tblPrEx>
        <w:trPr>
          <w:trHeight w:val="5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预算单位</w:t>
            </w:r>
          </w:p>
        </w:tc>
        <w:tc>
          <w:tcPr>
            <w:tcW w:w="4152" w:type="dxa"/>
            <w:gridSpan w:val="3"/>
            <w:tcBorders>
              <w:top w:val="single" w:color="000000" w:sz="4" w:space="0"/>
              <w:left w:val="single" w:color="000000" w:sz="4" w:space="0"/>
              <w:bottom w:val="single" w:color="000000" w:sz="4" w:space="0"/>
              <w:right w:val="nil"/>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昌吉州商务局</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hint="eastAsia" w:ascii="宋体" w:hAnsi="宋体" w:eastAsia="宋体" w:cs="宋体"/>
                <w:color w:val="000000"/>
                <w:sz w:val="18"/>
                <w:szCs w:val="18"/>
                <w:lang w:eastAsia="zh-CN"/>
              </w:rPr>
            </w:pPr>
            <w:r>
              <w:rPr>
                <w:rFonts w:hint="eastAsia" w:ascii="宋体" w:hAnsi="宋体" w:cs="宋体"/>
                <w:color w:val="000000"/>
                <w:sz w:val="18"/>
                <w:szCs w:val="18"/>
              </w:rPr>
              <w:t>昌吉州现代物流业发展</w:t>
            </w:r>
            <w:r>
              <w:rPr>
                <w:rFonts w:hint="eastAsia" w:ascii="宋体" w:hAnsi="宋体" w:cs="宋体"/>
                <w:color w:val="000000"/>
                <w:sz w:val="18"/>
                <w:szCs w:val="18"/>
                <w:lang w:eastAsia="zh-CN"/>
              </w:rPr>
              <w:t>“十四五”规划</w:t>
            </w:r>
          </w:p>
        </w:tc>
      </w:tr>
      <w:tr>
        <w:tblPrEx>
          <w:tblLayout w:type="fixed"/>
          <w:tblCellMar>
            <w:top w:w="0" w:type="dxa"/>
            <w:left w:w="0" w:type="dxa"/>
            <w:bottom w:w="0" w:type="dxa"/>
            <w:right w:w="0" w:type="dxa"/>
          </w:tblCellMar>
        </w:tblPrEx>
        <w:trPr>
          <w:trHeight w:val="5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项目资金（万元）</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年度资金总额：</w:t>
            </w:r>
          </w:p>
        </w:tc>
        <w:tc>
          <w:tcPr>
            <w:tcW w:w="122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50</w:t>
            </w: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50</w:t>
            </w:r>
          </w:p>
        </w:tc>
        <w:tc>
          <w:tcPr>
            <w:tcW w:w="14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0</w:t>
            </w:r>
          </w:p>
        </w:tc>
      </w:tr>
      <w:tr>
        <w:tblPrEx>
          <w:tblLayout w:type="fixed"/>
          <w:tblCellMar>
            <w:top w:w="0" w:type="dxa"/>
            <w:left w:w="0" w:type="dxa"/>
            <w:bottom w:w="0" w:type="dxa"/>
            <w:right w:w="0" w:type="dxa"/>
          </w:tblCellMar>
        </w:tblPrEx>
        <w:trPr>
          <w:trHeight w:val="11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项目总体目标</w:t>
            </w:r>
          </w:p>
        </w:tc>
        <w:tc>
          <w:tcPr>
            <w:tcW w:w="7855"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pPr>
              <w:spacing w:line="480" w:lineRule="exact"/>
              <w:jc w:val="left"/>
              <w:rPr>
                <w:rFonts w:ascii="宋体" w:hAnsi="宋体" w:cs="宋体"/>
                <w:color w:val="000000"/>
                <w:sz w:val="18"/>
                <w:szCs w:val="18"/>
              </w:rPr>
            </w:pPr>
            <w:r>
              <w:rPr>
                <w:rFonts w:hint="eastAsia" w:ascii="宋体" w:hAnsi="宋体" w:cs="宋体"/>
                <w:color w:val="000000"/>
                <w:sz w:val="18"/>
                <w:szCs w:val="18"/>
              </w:rPr>
              <w:t>十四五”时期，是昌吉州开启全面建设社会主义现代化国家新征程的第一个五年，也是实现高质量发展、提升区域综合整体实力的关键时期。商贸物流业作为多产业融合的生产性、生活性服务业，是昌吉州引导生产、扩大消费、吸纳就业、改善民生的重要支撑，是积极主动融入丝绸之路经济带核心区商贸物流中心建设和构建以国内大循环为主体、国内国际双循环相互促进新发展格局的关键举措。为充分发挥商贸物流在引导生产、扩大消费、吸纳就业、改善民生等方面的积极作用，推进昌吉州商贸物流业整体提升和加速发展，做好昌吉回族自治州商贸物流发展“十四五”规划编制工作意义重大、影响深远。</w:t>
            </w:r>
          </w:p>
        </w:tc>
      </w:tr>
      <w:tr>
        <w:tblPrEx>
          <w:tblLayout w:type="fixed"/>
          <w:tblCellMar>
            <w:top w:w="0" w:type="dxa"/>
            <w:left w:w="0" w:type="dxa"/>
            <w:bottom w:w="0" w:type="dxa"/>
            <w:right w:w="0" w:type="dxa"/>
          </w:tblCellMar>
        </w:tblPrEx>
        <w:trPr>
          <w:trHeight w:val="48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一级指标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二级指标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三级指标</w:t>
            </w:r>
          </w:p>
        </w:tc>
        <w:tc>
          <w:tcPr>
            <w:tcW w:w="2664" w:type="dxa"/>
            <w:gridSpan w:val="2"/>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指标值（包含数字及文字描述）</w:t>
            </w:r>
          </w:p>
        </w:tc>
      </w:tr>
      <w:tr>
        <w:tblPrEx>
          <w:tblLayout w:type="fixed"/>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产出指标</w:t>
            </w: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规划总体布局（个数）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≥2个</w:t>
            </w:r>
          </w:p>
        </w:tc>
      </w:tr>
      <w:tr>
        <w:tblPrEx>
          <w:tblLayout w:type="fixed"/>
          <w:tblCellMar>
            <w:top w:w="0" w:type="dxa"/>
            <w:left w:w="0" w:type="dxa"/>
            <w:bottom w:w="0" w:type="dxa"/>
            <w:right w:w="0" w:type="dxa"/>
          </w:tblCellMar>
        </w:tblPrEx>
        <w:trPr>
          <w:trHeight w:val="315"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auto"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重点领域（个数）</w:t>
            </w:r>
          </w:p>
        </w:tc>
        <w:tc>
          <w:tcPr>
            <w:tcW w:w="2664" w:type="dxa"/>
            <w:gridSpan w:val="2"/>
            <w:tcBorders>
              <w:top w:val="single" w:color="000000" w:sz="4" w:space="0"/>
              <w:left w:val="single" w:color="000000" w:sz="4" w:space="0"/>
              <w:bottom w:val="single" w:color="auto"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≥2个</w:t>
            </w:r>
          </w:p>
        </w:tc>
      </w:tr>
      <w:tr>
        <w:tblPrEx>
          <w:tblLayout w:type="fixed"/>
          <w:tblCellMar>
            <w:top w:w="0" w:type="dxa"/>
            <w:left w:w="0" w:type="dxa"/>
            <w:bottom w:w="0" w:type="dxa"/>
            <w:right w:w="0" w:type="dxa"/>
          </w:tblCellMar>
        </w:tblPrEx>
        <w:trPr>
          <w:trHeight w:val="187"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auto"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项目工作正常运转次数</w:t>
            </w:r>
          </w:p>
        </w:tc>
        <w:tc>
          <w:tcPr>
            <w:tcW w:w="2664" w:type="dxa"/>
            <w:gridSpan w:val="2"/>
            <w:tcBorders>
              <w:top w:val="single" w:color="auto"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≥10次</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质量指标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重点领域项目完成率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≥80%</w:t>
            </w:r>
          </w:p>
        </w:tc>
      </w:tr>
      <w:tr>
        <w:tblPrEx>
          <w:tblLayout w:type="fixed"/>
          <w:tblCellMar>
            <w:top w:w="0" w:type="dxa"/>
            <w:left w:w="0" w:type="dxa"/>
            <w:bottom w:w="0" w:type="dxa"/>
            <w:right w:w="0" w:type="dxa"/>
          </w:tblCellMar>
        </w:tblPrEx>
        <w:trPr>
          <w:trHeight w:val="333"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auto"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重大工程项目完成率</w:t>
            </w:r>
          </w:p>
        </w:tc>
        <w:tc>
          <w:tcPr>
            <w:tcW w:w="2664" w:type="dxa"/>
            <w:gridSpan w:val="2"/>
            <w:tcBorders>
              <w:top w:val="single" w:color="000000" w:sz="4" w:space="0"/>
              <w:left w:val="single" w:color="000000" w:sz="4" w:space="0"/>
              <w:bottom w:val="single" w:color="auto"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≥80%</w:t>
            </w:r>
          </w:p>
        </w:tc>
      </w:tr>
      <w:tr>
        <w:tblPrEx>
          <w:tblLayout w:type="fixed"/>
          <w:tblCellMar>
            <w:top w:w="0" w:type="dxa"/>
            <w:left w:w="0" w:type="dxa"/>
            <w:bottom w:w="0" w:type="dxa"/>
            <w:right w:w="0" w:type="dxa"/>
          </w:tblCellMar>
        </w:tblPrEx>
        <w:trPr>
          <w:trHeight w:val="169"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auto"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开展日常工作任完成率务</w:t>
            </w:r>
          </w:p>
        </w:tc>
        <w:tc>
          <w:tcPr>
            <w:tcW w:w="2664" w:type="dxa"/>
            <w:gridSpan w:val="2"/>
            <w:tcBorders>
              <w:top w:val="single" w:color="auto"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≥90%</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时效指标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完成保障本年度业务规划正常运行需要时间</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1月-12月</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成本指标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保障本年度招商引资工作正常运行经费</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50万元</w:t>
            </w:r>
          </w:p>
        </w:tc>
      </w:tr>
      <w:tr>
        <w:tblPrEx>
          <w:tblLayout w:type="fixed"/>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效益指标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经济效益指标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项目规划将推动商贸物流业</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高速发展</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可持续影响指标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长期保障工作平稳进行</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长期</w:t>
            </w:r>
          </w:p>
        </w:tc>
      </w:tr>
      <w:tr>
        <w:tblPrEx>
          <w:tblLayout w:type="fixed"/>
          <w:tblCellMar>
            <w:top w:w="0" w:type="dxa"/>
            <w:left w:w="0" w:type="dxa"/>
            <w:bottom w:w="0" w:type="dxa"/>
            <w:right w:w="0" w:type="dxa"/>
          </w:tblCellMar>
        </w:tblPrEx>
        <w:trPr>
          <w:trHeight w:val="4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群众满意度</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≥90%</w:t>
            </w:r>
          </w:p>
        </w:tc>
      </w:tr>
    </w:tbl>
    <w:p>
      <w:pPr>
        <w:widowControl/>
        <w:spacing w:line="480" w:lineRule="exact"/>
        <w:rPr>
          <w:rFonts w:ascii="仿宋_GB2312" w:hAnsi="宋体" w:eastAsia="仿宋_GB2312" w:cs="宋体"/>
          <w:kern w:val="0"/>
          <w:sz w:val="32"/>
          <w:szCs w:val="32"/>
        </w:rPr>
        <w:sectPr>
          <w:pgSz w:w="11906" w:h="16838"/>
          <w:pgMar w:top="1440" w:right="1800" w:bottom="1440" w:left="1800" w:header="851" w:footer="992" w:gutter="0"/>
          <w:pgNumType w:fmt="numberInDash" w:start="24"/>
          <w:cols w:space="720" w:num="1"/>
          <w:docGrid w:type="lines" w:linePitch="312" w:charSpace="0"/>
        </w:sectPr>
      </w:pPr>
    </w:p>
    <w:p>
      <w:pPr>
        <w:widowControl/>
        <w:spacing w:line="480" w:lineRule="exact"/>
        <w:ind w:firstLine="321" w:firstLineChars="100"/>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pPr>
        <w:widowControl/>
        <w:spacing w:line="52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无其他需要说明的事项。</w:t>
      </w:r>
    </w:p>
    <w:p>
      <w:pPr>
        <w:widowControl/>
        <w:spacing w:line="520" w:lineRule="exact"/>
        <w:jc w:val="left"/>
        <w:rPr>
          <w:rFonts w:ascii="仿宋_GB2312" w:hAnsi="宋体" w:eastAsia="仿宋_GB2312" w:cs="宋体"/>
          <w:kern w:val="0"/>
          <w:sz w:val="32"/>
          <w:szCs w:val="32"/>
        </w:rPr>
      </w:pPr>
    </w:p>
    <w:p>
      <w:pPr>
        <w:widowControl/>
        <w:spacing w:before="156" w:beforeLines="50" w:line="520" w:lineRule="exact"/>
        <w:jc w:val="center"/>
        <w:outlineLvl w:val="1"/>
        <w:rPr>
          <w:rFonts w:ascii="黑体" w:hAnsi="黑体" w:eastAsia="黑体"/>
          <w:kern w:val="0"/>
          <w:sz w:val="32"/>
          <w:szCs w:val="32"/>
        </w:rPr>
      </w:pPr>
      <w:r>
        <w:rPr>
          <w:rFonts w:hint="eastAsia" w:ascii="黑体" w:hAnsi="黑体" w:eastAsia="黑体"/>
          <w:kern w:val="0"/>
          <w:sz w:val="32"/>
          <w:szCs w:val="32"/>
        </w:rPr>
        <w:t>第四部分  名词解释</w:t>
      </w:r>
    </w:p>
    <w:p>
      <w:pPr>
        <w:widowControl/>
        <w:spacing w:before="156" w:beforeLines="50" w:line="520" w:lineRule="exact"/>
        <w:jc w:val="center"/>
        <w:outlineLvl w:val="1"/>
        <w:rPr>
          <w:rFonts w:ascii="黑体" w:hAnsi="黑体" w:eastAsia="黑体"/>
          <w:kern w:val="0"/>
          <w:sz w:val="32"/>
          <w:szCs w:val="32"/>
        </w:rPr>
      </w:pPr>
    </w:p>
    <w:p>
      <w:pPr>
        <w:widowControl/>
        <w:spacing w:line="52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名词解释：</w:t>
      </w:r>
    </w:p>
    <w:p>
      <w:pPr>
        <w:spacing w:line="520" w:lineRule="exact"/>
        <w:ind w:firstLine="642"/>
        <w:rPr>
          <w:rFonts w:ascii="仿宋_GB2312" w:eastAsia="仿宋_GB2312"/>
          <w:sz w:val="32"/>
          <w:szCs w:val="32"/>
        </w:rPr>
      </w:pPr>
      <w:r>
        <w:rPr>
          <w:rFonts w:hint="eastAsia" w:ascii="黑体" w:hAnsi="黑体" w:eastAsia="黑体"/>
          <w:sz w:val="32"/>
          <w:szCs w:val="32"/>
        </w:rPr>
        <w:t>一、财政拨款：</w:t>
      </w:r>
      <w:r>
        <w:rPr>
          <w:rFonts w:hint="eastAsia" w:ascii="仿宋_GB2312" w:eastAsia="仿宋_GB2312"/>
          <w:sz w:val="32"/>
          <w:szCs w:val="32"/>
        </w:rPr>
        <w:t>指由一般公共预算、政府性基金预算安排的财政拨款数。</w:t>
      </w:r>
    </w:p>
    <w:p>
      <w:pPr>
        <w:spacing w:line="520" w:lineRule="exact"/>
        <w:ind w:firstLine="642"/>
        <w:rPr>
          <w:rFonts w:ascii="仿宋_GB2312" w:eastAsia="仿宋_GB2312"/>
          <w:sz w:val="32"/>
          <w:szCs w:val="32"/>
        </w:rPr>
      </w:pPr>
      <w:r>
        <w:rPr>
          <w:rFonts w:hint="eastAsia" w:ascii="黑体" w:hAnsi="黑体" w:eastAsia="黑体"/>
          <w:sz w:val="32"/>
          <w:szCs w:val="32"/>
        </w:rPr>
        <w:t>二、一般公共预算：</w:t>
      </w:r>
      <w:r>
        <w:rPr>
          <w:rFonts w:hint="eastAsia" w:ascii="仿宋_GB2312" w:eastAsia="仿宋_GB2312"/>
          <w:spacing w:val="-6"/>
          <w:sz w:val="32"/>
          <w:szCs w:val="32"/>
        </w:rPr>
        <w:t>包括公共财政拨款（补助）资金、专项收入。</w:t>
      </w:r>
    </w:p>
    <w:p>
      <w:pPr>
        <w:spacing w:line="520" w:lineRule="exact"/>
        <w:ind w:firstLine="642"/>
        <w:rPr>
          <w:rFonts w:ascii="仿宋_GB2312" w:eastAsia="仿宋_GB2312"/>
          <w:sz w:val="32"/>
          <w:szCs w:val="32"/>
        </w:rPr>
      </w:pPr>
      <w:r>
        <w:rPr>
          <w:rFonts w:hint="eastAsia" w:ascii="黑体" w:hAnsi="黑体" w:eastAsia="黑体"/>
          <w:sz w:val="32"/>
          <w:szCs w:val="32"/>
        </w:rPr>
        <w:t>三、财政专户管理资金：</w:t>
      </w:r>
      <w:r>
        <w:rPr>
          <w:rFonts w:hint="eastAsia" w:ascii="仿宋_GB2312" w:eastAsia="仿宋_GB2312"/>
          <w:sz w:val="32"/>
          <w:szCs w:val="32"/>
        </w:rPr>
        <w:t>包括专户管理行政事业性收费（主要是教育收费）、其他非税收入。</w:t>
      </w:r>
    </w:p>
    <w:p>
      <w:pPr>
        <w:spacing w:line="520" w:lineRule="exact"/>
        <w:ind w:firstLine="642"/>
        <w:rPr>
          <w:rFonts w:ascii="仿宋_GB2312" w:eastAsia="仿宋_GB2312"/>
          <w:sz w:val="32"/>
          <w:szCs w:val="32"/>
        </w:rPr>
      </w:pPr>
      <w:r>
        <w:rPr>
          <w:rFonts w:hint="eastAsia" w:ascii="黑体" w:hAnsi="黑体" w:eastAsia="黑体"/>
          <w:sz w:val="32"/>
          <w:szCs w:val="32"/>
        </w:rPr>
        <w:t>四、其他资金：</w:t>
      </w:r>
      <w:r>
        <w:rPr>
          <w:rFonts w:hint="eastAsia" w:ascii="仿宋_GB2312" w:eastAsia="仿宋_GB2312"/>
          <w:sz w:val="32"/>
          <w:szCs w:val="32"/>
        </w:rPr>
        <w:t>包括事业收入、事业经营收入、其他收入等。</w:t>
      </w:r>
    </w:p>
    <w:p>
      <w:pPr>
        <w:spacing w:line="520" w:lineRule="exact"/>
        <w:ind w:firstLine="642"/>
        <w:rPr>
          <w:rFonts w:ascii="仿宋_GB2312" w:eastAsia="仿宋_GB2312"/>
          <w:sz w:val="32"/>
          <w:szCs w:val="32"/>
        </w:rPr>
      </w:pPr>
      <w:r>
        <w:rPr>
          <w:rFonts w:hint="eastAsia" w:ascii="黑体" w:hAnsi="黑体" w:eastAsia="黑体"/>
          <w:sz w:val="32"/>
          <w:szCs w:val="32"/>
        </w:rPr>
        <w:t>五、基本支出：</w:t>
      </w:r>
      <w:r>
        <w:rPr>
          <w:rFonts w:hint="eastAsia" w:ascii="仿宋_GB2312" w:eastAsia="仿宋_GB2312"/>
          <w:sz w:val="32"/>
          <w:szCs w:val="32"/>
        </w:rPr>
        <w:t>包括人员经费、商品和服务支出（定额）。其中，人员经费包括工资福利支出、对个人和家庭的补助。</w:t>
      </w:r>
    </w:p>
    <w:p>
      <w:pPr>
        <w:spacing w:line="520" w:lineRule="exact"/>
        <w:ind w:firstLine="642"/>
        <w:rPr>
          <w:rFonts w:ascii="仿宋_GB2312" w:eastAsia="仿宋_GB2312"/>
          <w:sz w:val="32"/>
          <w:szCs w:val="32"/>
        </w:rPr>
      </w:pPr>
      <w:r>
        <w:rPr>
          <w:rFonts w:hint="eastAsia" w:ascii="黑体" w:hAnsi="黑体" w:eastAsia="黑体"/>
          <w:sz w:val="32"/>
          <w:szCs w:val="32"/>
        </w:rPr>
        <w:t>六、项目支出：</w:t>
      </w:r>
      <w:r>
        <w:rPr>
          <w:rFonts w:hint="eastAsia" w:ascii="仿宋_GB2312" w:eastAsia="仿宋_GB2312"/>
          <w:sz w:val="32"/>
          <w:szCs w:val="32"/>
        </w:rPr>
        <w:t>部门（单位）支出预算的组成部分，是州本级部门（单位）为完成其特定的行政任务或事业发展目标，在基本支出预算之外编制的年度项目支出计划。</w:t>
      </w:r>
    </w:p>
    <w:p>
      <w:pPr>
        <w:spacing w:line="520" w:lineRule="exact"/>
        <w:ind w:firstLine="642"/>
        <w:rPr>
          <w:rFonts w:ascii="仿宋_GB2312" w:eastAsia="仿宋_GB2312"/>
          <w:sz w:val="32"/>
          <w:szCs w:val="32"/>
        </w:rPr>
      </w:pPr>
      <w:r>
        <w:rPr>
          <w:rFonts w:hint="eastAsia" w:ascii="黑体" w:hAnsi="黑体" w:eastAsia="黑体"/>
          <w:sz w:val="32"/>
          <w:szCs w:val="32"/>
        </w:rPr>
        <w:t>七、“三公”经费：</w:t>
      </w:r>
      <w:r>
        <w:rPr>
          <w:rFonts w:hint="eastAsia" w:ascii="仿宋_GB2312" w:eastAsia="仿宋_GB2312"/>
          <w:sz w:val="32"/>
          <w:szCs w:val="32"/>
        </w:rPr>
        <w:t>指州本级部门（单位）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pPr>
        <w:spacing w:line="520" w:lineRule="exact"/>
        <w:ind w:firstLine="642"/>
        <w:rPr>
          <w:rFonts w:ascii="仿宋_GB2312" w:eastAsia="仿宋_GB2312"/>
          <w:sz w:val="32"/>
          <w:szCs w:val="32"/>
        </w:rPr>
      </w:pPr>
      <w:r>
        <w:rPr>
          <w:rFonts w:hint="eastAsia" w:ascii="黑体" w:hAnsi="黑体" w:eastAsia="黑体"/>
          <w:sz w:val="32"/>
          <w:szCs w:val="32"/>
        </w:rPr>
        <w:t>八、机关运行经费：</w:t>
      </w:r>
      <w:r>
        <w:rPr>
          <w:rFonts w:hint="eastAsia" w:ascii="仿宋_GB2312" w:eastAsia="仿宋_GB2312"/>
          <w:sz w:val="32"/>
          <w:szCs w:val="32"/>
        </w:rPr>
        <w:t>指各部门（单位）的公用经费，包括办公及印刷费、邮电费、差旅费、会议费、福利费、日常维修费、专用材料及一般设备购置费、办公用房水电费、办公用房取暖费、办公用房物业管理费、公务用车运行维护费及其他费用。</w:t>
      </w: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昌吉州商务局</w:t>
      </w:r>
    </w:p>
    <w:p>
      <w:pPr>
        <w:widowControl/>
        <w:spacing w:line="52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2021</w:t>
      </w:r>
      <w:r>
        <w:rPr>
          <w:rFonts w:ascii="仿宋_GB2312" w:hAnsi="宋体" w:eastAsia="仿宋_GB2312" w:cs="宋体"/>
          <w:kern w:val="0"/>
          <w:sz w:val="32"/>
          <w:szCs w:val="32"/>
        </w:rPr>
        <w:t>年</w:t>
      </w:r>
      <w:r>
        <w:rPr>
          <w:rFonts w:hint="eastAsia" w:ascii="仿宋_GB2312" w:hAnsi="宋体" w:eastAsia="仿宋_GB2312" w:cs="宋体"/>
          <w:kern w:val="0"/>
          <w:sz w:val="32"/>
          <w:szCs w:val="32"/>
        </w:rPr>
        <w:t>2</w:t>
      </w:r>
      <w:r>
        <w:rPr>
          <w:rFonts w:ascii="仿宋_GB2312" w:hAnsi="宋体" w:eastAsia="仿宋_GB2312" w:cs="宋体"/>
          <w:kern w:val="0"/>
          <w:sz w:val="32"/>
          <w:szCs w:val="32"/>
        </w:rPr>
        <w:t>月</w:t>
      </w:r>
      <w:r>
        <w:rPr>
          <w:rFonts w:hint="eastAsia" w:ascii="仿宋_GB2312" w:hAnsi="宋体" w:eastAsia="仿宋_GB2312" w:cs="宋体"/>
          <w:kern w:val="0"/>
          <w:sz w:val="32"/>
          <w:szCs w:val="32"/>
        </w:rPr>
        <w:t>2</w:t>
      </w:r>
      <w:r>
        <w:rPr>
          <w:rFonts w:ascii="仿宋_GB2312" w:hAnsi="宋体" w:eastAsia="仿宋_GB2312" w:cs="宋体"/>
          <w:kern w:val="0"/>
          <w:sz w:val="32"/>
          <w:szCs w:val="32"/>
        </w:rPr>
        <w:t>日</w:t>
      </w:r>
    </w:p>
    <w:p/>
    <w:sectPr>
      <w:footerReference r:id="rId4"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9 -</w:t>
    </w:r>
    <w:r>
      <w:rPr>
        <w:rFonts w:ascii="宋体" w:hAnsi="宋体" w:eastAsia="宋体"/>
        <w:sz w:val="28"/>
        <w:szCs w:val="28"/>
      </w:rPr>
      <w:fldChar w:fldCharType="end"/>
    </w:r>
  </w:p>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7575"/>
    <w:rsid w:val="00031E76"/>
    <w:rsid w:val="000C6FBF"/>
    <w:rsid w:val="000D531A"/>
    <w:rsid w:val="000F3B60"/>
    <w:rsid w:val="0011450F"/>
    <w:rsid w:val="001747C9"/>
    <w:rsid w:val="00223EA5"/>
    <w:rsid w:val="00261065"/>
    <w:rsid w:val="002E7530"/>
    <w:rsid w:val="00305BD2"/>
    <w:rsid w:val="00321E8A"/>
    <w:rsid w:val="003679D2"/>
    <w:rsid w:val="00452A86"/>
    <w:rsid w:val="004B4842"/>
    <w:rsid w:val="00513790"/>
    <w:rsid w:val="005320EE"/>
    <w:rsid w:val="005602EA"/>
    <w:rsid w:val="00567073"/>
    <w:rsid w:val="0059125F"/>
    <w:rsid w:val="006E145A"/>
    <w:rsid w:val="00760458"/>
    <w:rsid w:val="007D7119"/>
    <w:rsid w:val="007E5ACA"/>
    <w:rsid w:val="00807EAC"/>
    <w:rsid w:val="00832690"/>
    <w:rsid w:val="008910BE"/>
    <w:rsid w:val="008A4B03"/>
    <w:rsid w:val="008E4F9E"/>
    <w:rsid w:val="00944B81"/>
    <w:rsid w:val="00951A65"/>
    <w:rsid w:val="00977253"/>
    <w:rsid w:val="00997CE4"/>
    <w:rsid w:val="009B654C"/>
    <w:rsid w:val="009B6FA3"/>
    <w:rsid w:val="00A13D75"/>
    <w:rsid w:val="00A5669F"/>
    <w:rsid w:val="00A57575"/>
    <w:rsid w:val="00AB1984"/>
    <w:rsid w:val="00B94A73"/>
    <w:rsid w:val="00D85033"/>
    <w:rsid w:val="00DA2829"/>
    <w:rsid w:val="00E51C21"/>
    <w:rsid w:val="00F105A9"/>
    <w:rsid w:val="00F56D4B"/>
    <w:rsid w:val="01A06AFC"/>
    <w:rsid w:val="01B67316"/>
    <w:rsid w:val="02006B83"/>
    <w:rsid w:val="03284F5E"/>
    <w:rsid w:val="043D0605"/>
    <w:rsid w:val="053C3611"/>
    <w:rsid w:val="05E501C6"/>
    <w:rsid w:val="06FD3AB8"/>
    <w:rsid w:val="0A602BCC"/>
    <w:rsid w:val="0AF5155C"/>
    <w:rsid w:val="0B1A54C9"/>
    <w:rsid w:val="0B8875D5"/>
    <w:rsid w:val="0BC5725E"/>
    <w:rsid w:val="0C550509"/>
    <w:rsid w:val="0CF0405E"/>
    <w:rsid w:val="0E2C303C"/>
    <w:rsid w:val="0E403C7C"/>
    <w:rsid w:val="0EA23B04"/>
    <w:rsid w:val="0FCC70F9"/>
    <w:rsid w:val="100376A7"/>
    <w:rsid w:val="103950F2"/>
    <w:rsid w:val="117B03F5"/>
    <w:rsid w:val="119A7262"/>
    <w:rsid w:val="11A63555"/>
    <w:rsid w:val="11F70024"/>
    <w:rsid w:val="128374A4"/>
    <w:rsid w:val="12C62020"/>
    <w:rsid w:val="13807857"/>
    <w:rsid w:val="14D25513"/>
    <w:rsid w:val="15806C80"/>
    <w:rsid w:val="16B335AB"/>
    <w:rsid w:val="16FB116A"/>
    <w:rsid w:val="171164DE"/>
    <w:rsid w:val="178B5AD1"/>
    <w:rsid w:val="18E01046"/>
    <w:rsid w:val="19465861"/>
    <w:rsid w:val="19CC5F73"/>
    <w:rsid w:val="1A305A93"/>
    <w:rsid w:val="1A344C6D"/>
    <w:rsid w:val="1B0F34A8"/>
    <w:rsid w:val="1BDF587B"/>
    <w:rsid w:val="1C6B4BA4"/>
    <w:rsid w:val="1C8B54AA"/>
    <w:rsid w:val="1CA23EC5"/>
    <w:rsid w:val="1CBE078E"/>
    <w:rsid w:val="1D870A3C"/>
    <w:rsid w:val="1D9226EC"/>
    <w:rsid w:val="1DFB3453"/>
    <w:rsid w:val="1E0538B6"/>
    <w:rsid w:val="1E7F0561"/>
    <w:rsid w:val="1E9502AA"/>
    <w:rsid w:val="1F370DD2"/>
    <w:rsid w:val="1F3F405D"/>
    <w:rsid w:val="1F5D2274"/>
    <w:rsid w:val="1F6C11B2"/>
    <w:rsid w:val="1F6D12C6"/>
    <w:rsid w:val="1F7E7626"/>
    <w:rsid w:val="1F844CE6"/>
    <w:rsid w:val="205601B2"/>
    <w:rsid w:val="20AA71BB"/>
    <w:rsid w:val="21E51C76"/>
    <w:rsid w:val="23D67502"/>
    <w:rsid w:val="24865257"/>
    <w:rsid w:val="24CD5D22"/>
    <w:rsid w:val="24F02D7C"/>
    <w:rsid w:val="24F61874"/>
    <w:rsid w:val="257A514B"/>
    <w:rsid w:val="2580144F"/>
    <w:rsid w:val="25961507"/>
    <w:rsid w:val="259B61AE"/>
    <w:rsid w:val="25D12C1D"/>
    <w:rsid w:val="26D05F7B"/>
    <w:rsid w:val="26FA386A"/>
    <w:rsid w:val="273B1E42"/>
    <w:rsid w:val="278B2302"/>
    <w:rsid w:val="28244971"/>
    <w:rsid w:val="28295992"/>
    <w:rsid w:val="287B7DE3"/>
    <w:rsid w:val="29052A57"/>
    <w:rsid w:val="2934546A"/>
    <w:rsid w:val="29636EB1"/>
    <w:rsid w:val="296E7E35"/>
    <w:rsid w:val="29941CEA"/>
    <w:rsid w:val="29C549B0"/>
    <w:rsid w:val="2A0B6F0B"/>
    <w:rsid w:val="2A3262CC"/>
    <w:rsid w:val="2B60315C"/>
    <w:rsid w:val="2B83519F"/>
    <w:rsid w:val="2C66373F"/>
    <w:rsid w:val="2D2D6457"/>
    <w:rsid w:val="2E77399A"/>
    <w:rsid w:val="2F7832EE"/>
    <w:rsid w:val="2F8B5500"/>
    <w:rsid w:val="2FDC5D7B"/>
    <w:rsid w:val="3022397B"/>
    <w:rsid w:val="30E26B37"/>
    <w:rsid w:val="30EE5CA3"/>
    <w:rsid w:val="30FC09CD"/>
    <w:rsid w:val="325732F6"/>
    <w:rsid w:val="32EE371E"/>
    <w:rsid w:val="33182B8F"/>
    <w:rsid w:val="334A7727"/>
    <w:rsid w:val="34392CD5"/>
    <w:rsid w:val="349D41DC"/>
    <w:rsid w:val="34E70509"/>
    <w:rsid w:val="35725A8D"/>
    <w:rsid w:val="35E013BB"/>
    <w:rsid w:val="35E23710"/>
    <w:rsid w:val="36585164"/>
    <w:rsid w:val="38881161"/>
    <w:rsid w:val="39994ED0"/>
    <w:rsid w:val="39B37EA0"/>
    <w:rsid w:val="39E11763"/>
    <w:rsid w:val="3B5A7970"/>
    <w:rsid w:val="3B9E7F33"/>
    <w:rsid w:val="3C4D0B22"/>
    <w:rsid w:val="3EB7475A"/>
    <w:rsid w:val="3EBF143C"/>
    <w:rsid w:val="41B41A8E"/>
    <w:rsid w:val="428450CA"/>
    <w:rsid w:val="43472528"/>
    <w:rsid w:val="4369089A"/>
    <w:rsid w:val="441622BB"/>
    <w:rsid w:val="44707908"/>
    <w:rsid w:val="448748A9"/>
    <w:rsid w:val="459E2DED"/>
    <w:rsid w:val="45F22DF8"/>
    <w:rsid w:val="460264B1"/>
    <w:rsid w:val="46155E50"/>
    <w:rsid w:val="46186F64"/>
    <w:rsid w:val="464667D1"/>
    <w:rsid w:val="466B50B5"/>
    <w:rsid w:val="47003BA0"/>
    <w:rsid w:val="478C547F"/>
    <w:rsid w:val="48533B3A"/>
    <w:rsid w:val="4A3F7838"/>
    <w:rsid w:val="4ADB18AC"/>
    <w:rsid w:val="4B1715F9"/>
    <w:rsid w:val="4B406455"/>
    <w:rsid w:val="4BAA0249"/>
    <w:rsid w:val="4C0D5B2F"/>
    <w:rsid w:val="4D7868DA"/>
    <w:rsid w:val="4D7E0E77"/>
    <w:rsid w:val="4E2C7E19"/>
    <w:rsid w:val="4F3B378B"/>
    <w:rsid w:val="4FE55871"/>
    <w:rsid w:val="514D35C5"/>
    <w:rsid w:val="51827043"/>
    <w:rsid w:val="51B41926"/>
    <w:rsid w:val="51DF6021"/>
    <w:rsid w:val="51EE61AB"/>
    <w:rsid w:val="51EF40BE"/>
    <w:rsid w:val="528E4340"/>
    <w:rsid w:val="52C61EDC"/>
    <w:rsid w:val="540C0DB7"/>
    <w:rsid w:val="540D169C"/>
    <w:rsid w:val="541729F5"/>
    <w:rsid w:val="556727D3"/>
    <w:rsid w:val="55D160E1"/>
    <w:rsid w:val="55E851AE"/>
    <w:rsid w:val="55FC2C14"/>
    <w:rsid w:val="560D0703"/>
    <w:rsid w:val="56821795"/>
    <w:rsid w:val="56D73DB2"/>
    <w:rsid w:val="57480BC0"/>
    <w:rsid w:val="58020C97"/>
    <w:rsid w:val="584D6095"/>
    <w:rsid w:val="58A950B0"/>
    <w:rsid w:val="5A3722FF"/>
    <w:rsid w:val="5A425CCC"/>
    <w:rsid w:val="5AE66262"/>
    <w:rsid w:val="5B1F5627"/>
    <w:rsid w:val="5B340F36"/>
    <w:rsid w:val="5B4F3911"/>
    <w:rsid w:val="5D116D2D"/>
    <w:rsid w:val="5D506DA5"/>
    <w:rsid w:val="5E7D1DDD"/>
    <w:rsid w:val="5F571C0B"/>
    <w:rsid w:val="615A3304"/>
    <w:rsid w:val="61A46A1C"/>
    <w:rsid w:val="61E820CE"/>
    <w:rsid w:val="62656EC2"/>
    <w:rsid w:val="62914C7D"/>
    <w:rsid w:val="637075C9"/>
    <w:rsid w:val="64C24A58"/>
    <w:rsid w:val="64DB3729"/>
    <w:rsid w:val="64E27872"/>
    <w:rsid w:val="65503090"/>
    <w:rsid w:val="658275B9"/>
    <w:rsid w:val="65B52E58"/>
    <w:rsid w:val="65B74BA3"/>
    <w:rsid w:val="6650052F"/>
    <w:rsid w:val="665B1BCD"/>
    <w:rsid w:val="66BD478E"/>
    <w:rsid w:val="680F158E"/>
    <w:rsid w:val="68560911"/>
    <w:rsid w:val="686E66C6"/>
    <w:rsid w:val="698533AF"/>
    <w:rsid w:val="69FD2D1F"/>
    <w:rsid w:val="6A0B76C9"/>
    <w:rsid w:val="6A5F5A2E"/>
    <w:rsid w:val="6AC56B7F"/>
    <w:rsid w:val="6AD14A8C"/>
    <w:rsid w:val="6AE50109"/>
    <w:rsid w:val="6B046456"/>
    <w:rsid w:val="6B0E652E"/>
    <w:rsid w:val="6B9F060D"/>
    <w:rsid w:val="6BD127B3"/>
    <w:rsid w:val="6C605DA9"/>
    <w:rsid w:val="6DF0391C"/>
    <w:rsid w:val="6E6A04F2"/>
    <w:rsid w:val="6E6E6E6B"/>
    <w:rsid w:val="6EAB5BC9"/>
    <w:rsid w:val="6F5513AE"/>
    <w:rsid w:val="6F6E2772"/>
    <w:rsid w:val="6FE64804"/>
    <w:rsid w:val="704766F4"/>
    <w:rsid w:val="70A1006D"/>
    <w:rsid w:val="70B25BF0"/>
    <w:rsid w:val="70E523FE"/>
    <w:rsid w:val="712E1D35"/>
    <w:rsid w:val="71690883"/>
    <w:rsid w:val="71FF6606"/>
    <w:rsid w:val="723E3B79"/>
    <w:rsid w:val="72D605A5"/>
    <w:rsid w:val="738D4573"/>
    <w:rsid w:val="73C63A6B"/>
    <w:rsid w:val="74181D52"/>
    <w:rsid w:val="745376D2"/>
    <w:rsid w:val="752F381B"/>
    <w:rsid w:val="755E6258"/>
    <w:rsid w:val="759B6EDD"/>
    <w:rsid w:val="75A52244"/>
    <w:rsid w:val="75BF0B43"/>
    <w:rsid w:val="763D3E40"/>
    <w:rsid w:val="773B7247"/>
    <w:rsid w:val="78795ED8"/>
    <w:rsid w:val="792611E0"/>
    <w:rsid w:val="7A426A42"/>
    <w:rsid w:val="7BFE5393"/>
    <w:rsid w:val="7C4A77A8"/>
    <w:rsid w:val="7CB26B16"/>
    <w:rsid w:val="7CB61F58"/>
    <w:rsid w:val="7CB72D31"/>
    <w:rsid w:val="7E7915A3"/>
    <w:rsid w:val="7E9E5CA4"/>
    <w:rsid w:val="7EE205E1"/>
    <w:rsid w:val="7EEF54D9"/>
    <w:rsid w:val="7FEF18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uiPriority w:val="99"/>
    <w:tblPr>
      <w:tblLayout w:type="fixed"/>
      <w:tblCellMar>
        <w:top w:w="0" w:type="dxa"/>
        <w:left w:w="108" w:type="dxa"/>
        <w:bottom w:w="0" w:type="dxa"/>
        <w:right w:w="108" w:type="dxa"/>
      </w:tblCellMar>
    </w:tblPr>
  </w:style>
  <w:style w:type="paragraph" w:styleId="2">
    <w:name w:val="Balloon Text"/>
    <w:basedOn w:val="1"/>
    <w:link w:val="10"/>
    <w:semiHidden/>
    <w:qFormat/>
    <w:uiPriority w:val="0"/>
    <w:rPr>
      <w:rFonts w:asciiTheme="minorHAnsi" w:hAnsiTheme="minorHAnsi" w:eastAsiaTheme="minorEastAsia" w:cstheme="minorBidi"/>
      <w:sz w:val="18"/>
      <w:szCs w:val="18"/>
    </w:rPr>
  </w:style>
  <w:style w:type="paragraph" w:styleId="3">
    <w:name w:val="footer"/>
    <w:basedOn w:val="1"/>
    <w:link w:val="9"/>
    <w:qFormat/>
    <w:uiPriority w:val="99"/>
    <w:pPr>
      <w:tabs>
        <w:tab w:val="center" w:pos="4153"/>
        <w:tab w:val="right" w:pos="8306"/>
      </w:tabs>
      <w:snapToGrid w:val="0"/>
      <w:jc w:val="left"/>
    </w:pPr>
    <w:rPr>
      <w:rFonts w:eastAsia="黑体" w:asciiTheme="minorHAnsi" w:hAnsiTheme="minorHAnsi" w:cstheme="minorBidi"/>
      <w:sz w:val="18"/>
      <w:szCs w:val="18"/>
    </w:rPr>
  </w:style>
  <w:style w:type="paragraph" w:styleId="4">
    <w:name w:val="header"/>
    <w:basedOn w:val="1"/>
    <w:link w:val="11"/>
    <w:qFormat/>
    <w:uiPriority w:val="0"/>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5">
    <w:name w:val="Body Text Indent 3"/>
    <w:basedOn w:val="1"/>
    <w:link w:val="8"/>
    <w:qFormat/>
    <w:uiPriority w:val="0"/>
    <w:pPr>
      <w:pBdr>
        <w:top w:val="single" w:color="auto" w:sz="12" w:space="1"/>
        <w:bottom w:val="single" w:color="auto" w:sz="12" w:space="1"/>
      </w:pBdr>
      <w:spacing w:line="600" w:lineRule="exact"/>
      <w:ind w:left="1280" w:hanging="1280" w:hangingChars="400"/>
    </w:pPr>
    <w:rPr>
      <w:rFonts w:eastAsia="仿宋_GB2312" w:asciiTheme="minorHAnsi" w:hAnsiTheme="minorHAnsi" w:cstheme="minorBidi"/>
      <w:sz w:val="32"/>
    </w:rPr>
  </w:style>
  <w:style w:type="character" w:customStyle="1" w:styleId="8">
    <w:name w:val="正文文本缩进 3 Char"/>
    <w:link w:val="5"/>
    <w:qFormat/>
    <w:uiPriority w:val="0"/>
    <w:rPr>
      <w:rFonts w:eastAsia="仿宋_GB2312"/>
      <w:sz w:val="32"/>
      <w:szCs w:val="24"/>
    </w:rPr>
  </w:style>
  <w:style w:type="character" w:customStyle="1" w:styleId="9">
    <w:name w:val="页脚 Char"/>
    <w:link w:val="3"/>
    <w:qFormat/>
    <w:uiPriority w:val="99"/>
    <w:rPr>
      <w:rFonts w:eastAsia="黑体"/>
      <w:sz w:val="18"/>
      <w:szCs w:val="18"/>
    </w:rPr>
  </w:style>
  <w:style w:type="character" w:customStyle="1" w:styleId="10">
    <w:name w:val="批注框文本 Char"/>
    <w:link w:val="2"/>
    <w:semiHidden/>
    <w:qFormat/>
    <w:uiPriority w:val="0"/>
    <w:rPr>
      <w:sz w:val="18"/>
      <w:szCs w:val="18"/>
    </w:rPr>
  </w:style>
  <w:style w:type="character" w:customStyle="1" w:styleId="11">
    <w:name w:val="页眉 Char"/>
    <w:link w:val="4"/>
    <w:qFormat/>
    <w:uiPriority w:val="0"/>
    <w:rPr>
      <w:sz w:val="18"/>
      <w:szCs w:val="18"/>
    </w:rPr>
  </w:style>
  <w:style w:type="character" w:customStyle="1" w:styleId="12">
    <w:name w:val="页眉 Char1"/>
    <w:basedOn w:val="7"/>
    <w:semiHidden/>
    <w:qFormat/>
    <w:uiPriority w:val="99"/>
    <w:rPr>
      <w:rFonts w:ascii="Times New Roman" w:hAnsi="Times New Roman" w:eastAsia="宋体" w:cs="Times New Roman"/>
      <w:sz w:val="18"/>
      <w:szCs w:val="18"/>
    </w:rPr>
  </w:style>
  <w:style w:type="character" w:customStyle="1" w:styleId="13">
    <w:name w:val="正文文本缩进 3 Char1"/>
    <w:basedOn w:val="7"/>
    <w:semiHidden/>
    <w:qFormat/>
    <w:uiPriority w:val="99"/>
    <w:rPr>
      <w:rFonts w:ascii="Times New Roman" w:hAnsi="Times New Roman" w:eastAsia="宋体" w:cs="Times New Roman"/>
      <w:sz w:val="16"/>
      <w:szCs w:val="16"/>
    </w:rPr>
  </w:style>
  <w:style w:type="character" w:customStyle="1" w:styleId="14">
    <w:name w:val="页脚 Char1"/>
    <w:basedOn w:val="7"/>
    <w:semiHidden/>
    <w:qFormat/>
    <w:uiPriority w:val="99"/>
    <w:rPr>
      <w:rFonts w:ascii="Times New Roman" w:hAnsi="Times New Roman" w:eastAsia="宋体" w:cs="Times New Roman"/>
      <w:sz w:val="18"/>
      <w:szCs w:val="18"/>
    </w:rPr>
  </w:style>
  <w:style w:type="character" w:customStyle="1" w:styleId="15">
    <w:name w:val="批注框文本 Char1"/>
    <w:basedOn w:val="7"/>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B0217C4-48AE-4875-9E7B-9EE17289C8FF}">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26</Pages>
  <Words>1840</Words>
  <Characters>10492</Characters>
  <Lines>87</Lines>
  <Paragraphs>24</Paragraphs>
  <TotalTime>8</TotalTime>
  <ScaleCrop>false</ScaleCrop>
  <LinksUpToDate>false</LinksUpToDate>
  <CharactersWithSpaces>12308</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2021-02-07T02:26:00Z</dcterms:created>
  <dc:creator>闫超</dc:creator>
  <cp:lastModifiedBy>1</cp:lastModifiedBy>
  <cp:lastPrinted>2021-04-16T03:55:00Z</cp:lastPrinted>
  <dcterms:modified xsi:type="dcterms:W3CDTF">2025-02-10T11:56:04Z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ies>
</file>