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bookmarkStart w:id="0" w:name="_GoBack"/>
      <w:bookmarkEnd w:id="0"/>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b/>
          <w:bCs/>
          <w:kern w:val="0"/>
          <w:sz w:val="44"/>
          <w:szCs w:val="44"/>
        </w:rPr>
        <w:t>昌吉州政府投资项目评审中心2019年部门预算公开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昌吉州政府投资项目评审中心单位概况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一、关于昌吉州政府投资项目评审中心2019年收支预算情况的总体说明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二、关于昌吉州政府投资项目评审中心2019年收入预算情况说明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三、关于昌吉州政府投资项目评审中心2019年支出预算情况说明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昌吉州政府投资项目评审中心2019</w:t>
      </w:r>
      <w:r>
        <w:rPr>
          <w:rFonts w:hint="eastAsia" w:ascii="仿宋_GB2312" w:hAnsi="宋体" w:eastAsia="仿宋_GB2312"/>
          <w:bCs/>
          <w:kern w:val="0"/>
          <w:sz w:val="32"/>
          <w:szCs w:val="32"/>
        </w:rPr>
        <w:t>年财政拨款收支预算情况总体说明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五、关于昌吉州政府投资项目评审中心2019年一般公共预算当年拨款情况说明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六、关于昌吉州政府投资项目评审中心2019年一般公共预算基本支出情况说明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七、关于昌吉州政府投资项目评审中心2019年项目支出情况说明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八、关于昌吉州政府投资项目评审中心2019年一般公共预算“三公”经费预算情况说明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九、关于昌吉州政府投资项目评审中心2019年政府性基金预算拨款情况说明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昌吉州政府投资项目评审中心部门概况</w:t>
      </w:r>
    </w:p>
    <w:p>
      <w:pPr>
        <w:widowControl/>
        <w:jc w:val="center"/>
        <w:outlineLvl w:val="1"/>
        <w:rPr>
          <w:rFonts w:ascii="宋体" w:hAnsi="宋体"/>
          <w:b/>
          <w:kern w:val="0"/>
          <w:sz w:val="32"/>
          <w:szCs w:val="32"/>
        </w:rPr>
      </w:pP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对限额以下基本建设项目、技术改造项目、房地产及其它项目前期工作进行评估、论证、咨询,为建设项目决策提供科学依据及服务; 在国家产业政策指导下,开展重大经济建设专题和发展规划咨询服务工作。受建设单位委托, 编制建设项目规划、项目建议书及可行性研究报告，为工程建设全过程提供咨询服务工作；参与建设项目的后评价工作。　  </w:t>
      </w:r>
    </w:p>
    <w:p>
      <w:pPr>
        <w:widowControl/>
        <w:spacing w:line="560" w:lineRule="exact"/>
        <w:ind w:firstLine="640" w:firstLineChars="200"/>
        <w:jc w:val="left"/>
        <w:rPr>
          <w:rFonts w:ascii="仿宋_GB2312" w:eastAsia="仿宋_GB2312"/>
          <w:sz w:val="32"/>
          <w:szCs w:val="32"/>
        </w:rPr>
      </w:pPr>
      <w:r>
        <w:rPr>
          <w:rFonts w:hint="eastAsia" w:ascii="黑体" w:hAnsi="黑体" w:eastAsia="黑体" w:cs="宋体"/>
          <w:bCs/>
          <w:kern w:val="0"/>
          <w:sz w:val="32"/>
          <w:szCs w:val="32"/>
        </w:rPr>
        <w:t>二、机构设置及人员情况</w:t>
      </w:r>
      <w:r>
        <w:rPr>
          <w:rFonts w:hint="eastAsia" w:ascii="仿宋_GB2312" w:eastAsia="仿宋_GB2312"/>
          <w:sz w:val="32"/>
          <w:szCs w:val="32"/>
        </w:rPr>
        <w:t xml:space="preserve">    </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w:t>
      </w:r>
      <w:r>
        <w:rPr>
          <w:rFonts w:hint="eastAsia" w:ascii="仿宋_GB2312" w:hAnsi="黑体" w:eastAsia="仿宋_GB2312" w:cs="宋体"/>
          <w:bCs/>
          <w:kern w:val="0"/>
          <w:sz w:val="32"/>
          <w:szCs w:val="32"/>
        </w:rPr>
        <w:t>单位无下属预算单位，下设0个科室</w:t>
      </w:r>
      <w:r>
        <w:rPr>
          <w:rFonts w:hint="eastAsia" w:ascii="仿宋_GB2312" w:hAnsi="宋体" w:eastAsia="仿宋_GB2312" w:cs="宋体"/>
          <w:kern w:val="0"/>
          <w:sz w:val="32"/>
          <w:szCs w:val="32"/>
        </w:rPr>
        <w:t>。</w:t>
      </w:r>
    </w:p>
    <w:p>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昌吉州政府投资项目评审中心单位编制数5人，实有人数8人，其中：在职4人，增加1人； 退休4人，增加或减少0人；离休0人，增加或减少0人。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编制部门：昌吉州政府投资项目评审中心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57.59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57.59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57.59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tabs>
                <w:tab w:val="left" w:pos="500"/>
              </w:tabs>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57.59</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57.59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57.59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57.59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填报部门：昌吉州政府投资项目评审中心                        单位：万元</w:t>
      </w:r>
    </w:p>
    <w:tbl>
      <w:tblPr>
        <w:tblStyle w:val="4"/>
        <w:tblW w:w="9548" w:type="dxa"/>
        <w:tblInd w:w="93" w:type="dxa"/>
        <w:tblLayout w:type="fixed"/>
        <w:tblCellMar>
          <w:top w:w="0" w:type="dxa"/>
          <w:left w:w="108" w:type="dxa"/>
          <w:bottom w:w="0" w:type="dxa"/>
          <w:right w:w="108" w:type="dxa"/>
        </w:tblCellMar>
      </w:tblPr>
      <w:tblGrid>
        <w:gridCol w:w="518"/>
        <w:gridCol w:w="420"/>
        <w:gridCol w:w="510"/>
        <w:gridCol w:w="1860"/>
        <w:gridCol w:w="1110"/>
        <w:gridCol w:w="918"/>
        <w:gridCol w:w="537"/>
        <w:gridCol w:w="383"/>
        <w:gridCol w:w="427"/>
        <w:gridCol w:w="750"/>
        <w:gridCol w:w="645"/>
        <w:gridCol w:w="630"/>
        <w:gridCol w:w="840"/>
      </w:tblGrid>
      <w:tr>
        <w:tblPrEx>
          <w:tblLayout w:type="fixed"/>
          <w:tblCellMar>
            <w:top w:w="0" w:type="dxa"/>
            <w:left w:w="108" w:type="dxa"/>
            <w:bottom w:w="0" w:type="dxa"/>
            <w:right w:w="108" w:type="dxa"/>
          </w:tblCellMar>
        </w:tblPrEx>
        <w:trPr>
          <w:trHeight w:val="51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8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2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510" w:type="dxa"/>
            <w:tcBorders>
              <w:top w:val="nil"/>
              <w:left w:val="nil"/>
              <w:bottom w:val="single" w:color="auto" w:sz="4" w:space="0"/>
              <w:right w:val="single" w:color="auto" w:sz="4" w:space="0"/>
            </w:tcBorders>
            <w:shd w:val="clear" w:color="auto" w:fill="auto"/>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50</w:t>
            </w:r>
          </w:p>
        </w:tc>
        <w:tc>
          <w:tcPr>
            <w:tcW w:w="1860"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事业</w:t>
            </w:r>
            <w:r>
              <w:rPr>
                <w:rFonts w:hint="eastAsia" w:ascii="仿宋_GB2312" w:eastAsia="仿宋_GB2312"/>
                <w:color w:val="000000"/>
                <w:sz w:val="20"/>
                <w:szCs w:val="20"/>
              </w:rPr>
              <w:t>运行</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57.59</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hAnsi="宋体" w:eastAsia="仿宋_GB2312" w:cs="宋体"/>
                <w:kern w:val="0"/>
                <w:sz w:val="18"/>
                <w:szCs w:val="18"/>
              </w:rPr>
              <w:t>57.59</w:t>
            </w:r>
          </w:p>
        </w:tc>
        <w:tc>
          <w:tcPr>
            <w:tcW w:w="5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9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57.59</w:t>
            </w: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hAnsi="宋体" w:eastAsia="仿宋_GB2312" w:cs="宋体"/>
                <w:kern w:val="0"/>
                <w:sz w:val="18"/>
                <w:szCs w:val="18"/>
              </w:rPr>
              <w:t>57.59</w:t>
            </w: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编制部门：昌吉州政府投资项目评审中心                       单位：万元</w:t>
      </w:r>
    </w:p>
    <w:tbl>
      <w:tblPr>
        <w:tblStyle w:val="4"/>
        <w:tblW w:w="9262" w:type="dxa"/>
        <w:tblInd w:w="93" w:type="dxa"/>
        <w:tblLayout w:type="fixed"/>
        <w:tblCellMar>
          <w:top w:w="0" w:type="dxa"/>
          <w:left w:w="108" w:type="dxa"/>
          <w:bottom w:w="0" w:type="dxa"/>
          <w:right w:w="108" w:type="dxa"/>
        </w:tblCellMar>
      </w:tblPr>
      <w:tblGrid>
        <w:gridCol w:w="561"/>
        <w:gridCol w:w="437"/>
        <w:gridCol w:w="495"/>
        <w:gridCol w:w="1935"/>
        <w:gridCol w:w="2232"/>
        <w:gridCol w:w="1856"/>
        <w:gridCol w:w="1713"/>
        <w:gridCol w:w="33"/>
      </w:tblGrid>
      <w:tr>
        <w:tblPrEx>
          <w:tblLayout w:type="fixed"/>
          <w:tblCellMar>
            <w:top w:w="0" w:type="dxa"/>
            <w:left w:w="108" w:type="dxa"/>
            <w:bottom w:w="0" w:type="dxa"/>
            <w:right w:w="108" w:type="dxa"/>
          </w:tblCellMar>
        </w:tblPrEx>
        <w:trPr>
          <w:gridAfter w:val="1"/>
          <w:wAfter w:w="33" w:type="dxa"/>
          <w:trHeight w:val="345" w:hRule="atLeast"/>
        </w:trPr>
        <w:tc>
          <w:tcPr>
            <w:tcW w:w="342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801"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33" w:type="dxa"/>
          <w:trHeight w:val="480" w:hRule="atLeast"/>
        </w:trPr>
        <w:tc>
          <w:tcPr>
            <w:tcW w:w="14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35"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23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3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232"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4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50</w:t>
            </w:r>
          </w:p>
        </w:tc>
        <w:tc>
          <w:tcPr>
            <w:tcW w:w="1935" w:type="dxa"/>
            <w:tcBorders>
              <w:top w:val="nil"/>
              <w:left w:val="nil"/>
              <w:bottom w:val="single" w:color="auto" w:sz="4" w:space="0"/>
              <w:right w:val="single" w:color="auto" w:sz="4" w:space="0"/>
            </w:tcBorders>
            <w:shd w:val="clear" w:color="auto" w:fill="auto"/>
            <w:vAlign w:val="center"/>
          </w:tcPr>
          <w:p>
            <w:pPr>
              <w:jc w:val="left"/>
              <w:rPr>
                <w:rFonts w:ascii="宋体" w:hAnsi="宋体" w:cs="宋体"/>
                <w:b/>
                <w:bCs/>
                <w:color w:val="000000"/>
                <w:kern w:val="0"/>
                <w:sz w:val="22"/>
                <w:szCs w:val="22"/>
              </w:rPr>
            </w:pPr>
            <w:r>
              <w:rPr>
                <w:rFonts w:hint="eastAsia" w:ascii="仿宋_GB2312" w:eastAsia="仿宋_GB2312"/>
                <w:color w:val="000000"/>
                <w:sz w:val="20"/>
                <w:szCs w:val="20"/>
              </w:rPr>
              <w:t>事业运行</w:t>
            </w:r>
          </w:p>
        </w:tc>
        <w:tc>
          <w:tcPr>
            <w:tcW w:w="2232"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57.59</w:t>
            </w:r>
          </w:p>
        </w:tc>
        <w:tc>
          <w:tcPr>
            <w:tcW w:w="1856"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hAnsi="宋体" w:eastAsia="仿宋_GB2312" w:cs="宋体"/>
                <w:kern w:val="0"/>
                <w:sz w:val="18"/>
                <w:szCs w:val="18"/>
              </w:rPr>
              <w:t>57.59</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23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57.59</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仿宋_GB2312" w:hAnsi="宋体" w:eastAsia="仿宋_GB2312" w:cs="宋体"/>
                <w:kern w:val="0"/>
                <w:sz w:val="18"/>
                <w:szCs w:val="18"/>
              </w:rPr>
              <w:t>57.59</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center"/>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编制部门：昌吉州政府投资项目评审中心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3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57.59</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57.59</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r>
              <w:rPr>
                <w:rFonts w:hint="eastAsia" w:ascii="仿宋_GB2312" w:hAnsi="宋体" w:eastAsia="仿宋_GB2312" w:cs="宋体"/>
                <w:kern w:val="0"/>
                <w:sz w:val="18"/>
                <w:szCs w:val="18"/>
              </w:rPr>
              <w:t>57.59</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57.59</w:t>
            </w: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仿宋_GB2312" w:hAnsi="宋体" w:eastAsia="仿宋_GB2312" w:cs="宋体"/>
                <w:kern w:val="0"/>
                <w:sz w:val="18"/>
                <w:szCs w:val="18"/>
              </w:rPr>
              <w:t>57.59</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93"/>
        <w:gridCol w:w="480"/>
        <w:gridCol w:w="420"/>
        <w:gridCol w:w="2367"/>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76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昌吉州政府投资项目评审中心</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201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04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50</w:t>
            </w:r>
          </w:p>
        </w:tc>
        <w:tc>
          <w:tcPr>
            <w:tcW w:w="236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eastAsia="仿宋_GB2312"/>
                <w:color w:val="000000"/>
                <w:sz w:val="20"/>
                <w:szCs w:val="20"/>
              </w:rPr>
              <w:t>事业运行</w:t>
            </w:r>
          </w:p>
        </w:tc>
        <w:tc>
          <w:tcPr>
            <w:tcW w:w="1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57.59</w:t>
            </w:r>
          </w:p>
        </w:tc>
        <w:tc>
          <w:tcPr>
            <w:tcW w:w="1842" w:type="dxa"/>
            <w:gridSpan w:val="2"/>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hAnsi="宋体" w:eastAsia="仿宋_GB2312" w:cs="宋体"/>
                <w:kern w:val="0"/>
                <w:sz w:val="18"/>
                <w:szCs w:val="18"/>
              </w:rPr>
              <w:t>57.59</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57.59</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w:t>
            </w:r>
            <w:r>
              <w:rPr>
                <w:rFonts w:hint="eastAsia" w:ascii="仿宋_GB2312" w:hAnsi="宋体" w:eastAsia="仿宋_GB2312" w:cs="宋体"/>
                <w:kern w:val="0"/>
                <w:sz w:val="18"/>
                <w:szCs w:val="18"/>
              </w:rPr>
              <w:t>57.59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表六：</w:t>
      </w:r>
    </w:p>
    <w:tbl>
      <w:tblPr>
        <w:tblStyle w:val="4"/>
        <w:tblW w:w="9116" w:type="dxa"/>
        <w:tblInd w:w="2" w:type="dxa"/>
        <w:tblLayout w:type="fixed"/>
        <w:tblCellMar>
          <w:top w:w="0" w:type="dxa"/>
          <w:left w:w="108" w:type="dxa"/>
          <w:bottom w:w="0" w:type="dxa"/>
          <w:right w:w="108" w:type="dxa"/>
        </w:tblCellMar>
      </w:tblPr>
      <w:tblGrid>
        <w:gridCol w:w="518"/>
        <w:gridCol w:w="578"/>
        <w:gridCol w:w="3080"/>
        <w:gridCol w:w="1527"/>
        <w:gridCol w:w="979"/>
        <w:gridCol w:w="728"/>
        <w:gridCol w:w="1706"/>
      </w:tblGrid>
      <w:tr>
        <w:tblPrEx>
          <w:tblLayout w:type="fixed"/>
          <w:tblCellMar>
            <w:top w:w="0" w:type="dxa"/>
            <w:left w:w="108" w:type="dxa"/>
            <w:bottom w:w="0" w:type="dxa"/>
            <w:right w:w="108" w:type="dxa"/>
          </w:tblCellMar>
        </w:tblPrEx>
        <w:trPr>
          <w:cantSplit/>
          <w:trHeight w:val="425" w:hRule="atLeast"/>
        </w:trPr>
        <w:tc>
          <w:tcPr>
            <w:tcW w:w="9116" w:type="dxa"/>
            <w:gridSpan w:val="7"/>
            <w:tcBorders>
              <w:top w:val="nil"/>
              <w:left w:val="nil"/>
              <w:bottom w:val="nil"/>
              <w:right w:val="nil"/>
            </w:tcBorders>
            <w:vAlign w:val="center"/>
          </w:tcPr>
          <w:p>
            <w:pPr>
              <w:widowControl/>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cantSplit/>
          <w:trHeight w:val="425" w:hRule="atLeast"/>
        </w:trPr>
        <w:tc>
          <w:tcPr>
            <w:tcW w:w="6682" w:type="dxa"/>
            <w:gridSpan w:val="5"/>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昌吉州政府投资项目评审中心</w:t>
            </w:r>
          </w:p>
        </w:tc>
        <w:tc>
          <w:tcPr>
            <w:tcW w:w="243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cantSplit/>
          <w:trHeight w:val="425" w:hRule="atLeast"/>
        </w:trPr>
        <w:tc>
          <w:tcPr>
            <w:tcW w:w="4176" w:type="dxa"/>
            <w:gridSpan w:val="3"/>
            <w:tcBorders>
              <w:top w:val="single" w:color="auto" w:sz="4" w:space="0"/>
              <w:left w:val="single" w:color="auto" w:sz="4" w:space="0"/>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40" w:type="dxa"/>
            <w:gridSpan w:val="4"/>
            <w:tcBorders>
              <w:top w:val="single" w:color="auto" w:sz="4" w:space="0"/>
              <w:left w:val="nil"/>
              <w:bottom w:val="single" w:color="auto" w:sz="4" w:space="0"/>
              <w:right w:val="single" w:color="000000"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cantSplit/>
          <w:trHeight w:val="425"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0"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27"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6" w:type="dxa"/>
            <w:vMerge w:val="restart"/>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cantSplit/>
          <w:trHeight w:val="425" w:hRule="atLeast"/>
        </w:trPr>
        <w:tc>
          <w:tcPr>
            <w:tcW w:w="51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8"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0"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仿宋_GB2312" w:hAnsi="宋体" w:eastAsia="仿宋_GB2312" w:cs="宋体"/>
                <w:b/>
                <w:bCs/>
                <w:color w:val="000000"/>
                <w:kern w:val="0"/>
                <w:sz w:val="20"/>
                <w:szCs w:val="20"/>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基本工资</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15.53</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15.53</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奖金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1.02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1.02</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伙食补助费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5.04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5.04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07</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绩效工资</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10.31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10.31</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08</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机关事业单位基本养老保险缴费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5.37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5.37</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10</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职工基本医疗保险缴费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4.7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4.7</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公务员医疗补助缴费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3.65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3.65</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12</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其他社会保障缴费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0.19</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301</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住房公积金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3.22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3.22</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办公费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0.42</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0.42</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05</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水费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0.21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0.21</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电费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0.51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0.51</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07</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邮电费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0.24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0.24</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差旅费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2.56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2.56</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13</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维修(护)费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0.04</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tabs>
                <w:tab w:val="center" w:pos="745"/>
              </w:tabs>
              <w:jc w:val="left"/>
              <w:rPr>
                <w:rFonts w:ascii="仿宋_GB2312" w:eastAsia="仿宋_GB2312"/>
                <w:sz w:val="20"/>
                <w:szCs w:val="20"/>
              </w:rPr>
            </w:pPr>
            <w:r>
              <w:rPr>
                <w:rFonts w:ascii="仿宋_GB2312" w:eastAsia="仿宋_GB2312"/>
                <w:sz w:val="20"/>
                <w:szCs w:val="20"/>
              </w:rPr>
              <w:t>0</w:t>
            </w:r>
            <w:r>
              <w:rPr>
                <w:rFonts w:hint="eastAsia" w:ascii="仿宋_GB2312" w:eastAsia="仿宋_GB2312"/>
                <w:sz w:val="20"/>
                <w:szCs w:val="20"/>
              </w:rPr>
              <w:tab/>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0.04</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16</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培训费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0.18</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28</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工会经费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0.31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0.31</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29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福利费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0.56</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0.56</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31</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公务车运行维护费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1.55</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1.55</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302</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99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其他商品和服务支出</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0.87</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0.87</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303</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09</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奖励金</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0.31</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0.31</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303</w:t>
            </w: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14</w:t>
            </w: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职工住宅取暖费</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0.8</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0.8</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0</w:t>
            </w:r>
          </w:p>
        </w:tc>
      </w:tr>
      <w:tr>
        <w:tblPrEx>
          <w:tblLayout w:type="fixed"/>
          <w:tblCellMar>
            <w:top w:w="0" w:type="dxa"/>
            <w:left w:w="108" w:type="dxa"/>
            <w:bottom w:w="0" w:type="dxa"/>
            <w:right w:w="108" w:type="dxa"/>
          </w:tblCellMar>
        </w:tblPrEx>
        <w:trPr>
          <w:cantSplit/>
          <w:trHeight w:val="369" w:hRule="atLeast"/>
        </w:trPr>
        <w:tc>
          <w:tcPr>
            <w:tcW w:w="51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p>
        </w:tc>
        <w:tc>
          <w:tcPr>
            <w:tcW w:w="578"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p>
        </w:tc>
        <w:tc>
          <w:tcPr>
            <w:tcW w:w="3080"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hint="eastAsia" w:ascii="仿宋_GB2312" w:eastAsia="仿宋_GB2312"/>
                <w:sz w:val="20"/>
                <w:szCs w:val="20"/>
              </w:rPr>
              <w:t>合计</w:t>
            </w:r>
          </w:p>
        </w:tc>
        <w:tc>
          <w:tcPr>
            <w:tcW w:w="1527"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57.59</w:t>
            </w:r>
          </w:p>
        </w:tc>
        <w:tc>
          <w:tcPr>
            <w:tcW w:w="1707" w:type="dxa"/>
            <w:gridSpan w:val="2"/>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50.14</w:t>
            </w:r>
          </w:p>
        </w:tc>
        <w:tc>
          <w:tcPr>
            <w:tcW w:w="1706" w:type="dxa"/>
            <w:tcBorders>
              <w:top w:val="single" w:color="auto" w:sz="4" w:space="0"/>
              <w:left w:val="single" w:color="auto" w:sz="4" w:space="0"/>
              <w:bottom w:val="single" w:color="auto" w:sz="4" w:space="0"/>
              <w:right w:val="single" w:color="auto" w:sz="4" w:space="0"/>
            </w:tcBorders>
            <w:vAlign w:val="center"/>
          </w:tcPr>
          <w:p>
            <w:pPr>
              <w:jc w:val="left"/>
              <w:rPr>
                <w:rFonts w:ascii="仿宋_GB2312" w:eastAsia="仿宋_GB2312"/>
                <w:sz w:val="20"/>
                <w:szCs w:val="20"/>
              </w:rPr>
            </w:pPr>
            <w:r>
              <w:rPr>
                <w:rFonts w:ascii="仿宋_GB2312" w:eastAsia="仿宋_GB2312"/>
                <w:sz w:val="20"/>
                <w:szCs w:val="20"/>
              </w:rPr>
              <w:t>7.45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表七：</w:t>
      </w:r>
    </w:p>
    <w:tbl>
      <w:tblPr>
        <w:tblStyle w:val="4"/>
        <w:tblW w:w="9486" w:type="dxa"/>
        <w:tblInd w:w="93" w:type="dxa"/>
        <w:tblLayout w:type="fixed"/>
        <w:tblCellMar>
          <w:top w:w="0" w:type="dxa"/>
          <w:left w:w="108" w:type="dxa"/>
          <w:bottom w:w="0" w:type="dxa"/>
          <w:right w:w="108" w:type="dxa"/>
        </w:tblCellMar>
      </w:tblPr>
      <w:tblGrid>
        <w:gridCol w:w="8"/>
        <w:gridCol w:w="480"/>
        <w:gridCol w:w="420"/>
        <w:gridCol w:w="420"/>
        <w:gridCol w:w="945"/>
        <w:gridCol w:w="1695"/>
        <w:gridCol w:w="555"/>
        <w:gridCol w:w="311"/>
        <w:gridCol w:w="536"/>
        <w:gridCol w:w="652"/>
        <w:gridCol w:w="652"/>
        <w:gridCol w:w="361"/>
        <w:gridCol w:w="217"/>
        <w:gridCol w:w="419"/>
        <w:gridCol w:w="578"/>
        <w:gridCol w:w="420"/>
        <w:gridCol w:w="420"/>
        <w:gridCol w:w="372"/>
        <w:gridCol w:w="25"/>
      </w:tblGrid>
      <w:tr>
        <w:tblPrEx>
          <w:tblLayout w:type="fixed"/>
          <w:tblCellMar>
            <w:top w:w="0" w:type="dxa"/>
            <w:left w:w="108" w:type="dxa"/>
            <w:bottom w:w="0" w:type="dxa"/>
            <w:right w:w="108" w:type="dxa"/>
          </w:tblCellMar>
        </w:tblPrEx>
        <w:trPr>
          <w:gridBefore w:val="1"/>
          <w:gridAfter w:val="1"/>
          <w:wBefore w:w="8" w:type="dxa"/>
          <w:wAfter w:w="25"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25"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昌吉州政府投资项目评审中心</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9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18"/>
                <w:szCs w:val="18"/>
              </w:rPr>
            </w:pPr>
          </w:p>
        </w:tc>
        <w:tc>
          <w:tcPr>
            <w:tcW w:w="1695" w:type="dxa"/>
            <w:vAlign w:val="center"/>
          </w:tcPr>
          <w:p>
            <w:pPr>
              <w:widowControl/>
              <w:jc w:val="left"/>
              <w:textAlignment w:val="center"/>
              <w:rPr>
                <w:rFonts w:ascii="仿宋" w:hAnsi="仿宋" w:eastAsia="仿宋" w:cs="仿宋"/>
                <w:kern w:val="0"/>
                <w:sz w:val="18"/>
                <w:szCs w:val="18"/>
              </w:rPr>
            </w:pPr>
          </w:p>
        </w:tc>
        <w:tc>
          <w:tcPr>
            <w:tcW w:w="555" w:type="dxa"/>
          </w:tcPr>
          <w:p>
            <w:pPr>
              <w:widowControl/>
              <w:jc w:val="right"/>
              <w:outlineLvl w:val="1"/>
              <w:rPr>
                <w:rFonts w:ascii="仿宋_GB2312" w:hAnsi="宋体" w:eastAsia="仿宋_GB2312"/>
                <w:kern w:val="0"/>
                <w:sz w:val="18"/>
                <w:szCs w:val="18"/>
              </w:rPr>
            </w:pPr>
          </w:p>
        </w:tc>
        <w:tc>
          <w:tcPr>
            <w:tcW w:w="311" w:type="dxa"/>
          </w:tcPr>
          <w:p>
            <w:pPr>
              <w:widowControl/>
              <w:jc w:val="right"/>
              <w:outlineLvl w:val="1"/>
              <w:rPr>
                <w:rFonts w:ascii="仿宋_GB2312" w:hAnsi="宋体" w:eastAsia="仿宋_GB2312"/>
                <w:kern w:val="0"/>
                <w:sz w:val="18"/>
                <w:szCs w:val="18"/>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32"/>
                <w:szCs w:val="32"/>
              </w:rPr>
            </w:pPr>
          </w:p>
        </w:tc>
        <w:tc>
          <w:tcPr>
            <w:tcW w:w="1695" w:type="dxa"/>
          </w:tcPr>
          <w:p>
            <w:pPr>
              <w:widowControl/>
              <w:jc w:val="left"/>
              <w:outlineLvl w:val="1"/>
              <w:rPr>
                <w:rFonts w:ascii="仿宋_GB2312" w:hAnsi="宋体" w:eastAsia="仿宋_GB2312"/>
                <w:kern w:val="0"/>
                <w:sz w:val="32"/>
                <w:szCs w:val="32"/>
              </w:rPr>
            </w:pPr>
          </w:p>
        </w:tc>
        <w:tc>
          <w:tcPr>
            <w:tcW w:w="555" w:type="dxa"/>
          </w:tcPr>
          <w:p>
            <w:pPr>
              <w:widowControl/>
              <w:jc w:val="left"/>
              <w:outlineLvl w:val="1"/>
              <w:rPr>
                <w:rFonts w:ascii="仿宋_GB2312" w:hAnsi="宋体" w:eastAsia="仿宋_GB2312"/>
                <w:kern w:val="0"/>
                <w:sz w:val="32"/>
                <w:szCs w:val="32"/>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55" w:type="dxa"/>
            <w:vAlign w:val="center"/>
          </w:tcPr>
          <w:p>
            <w:pPr>
              <w:widowControl/>
              <w:jc w:val="right"/>
              <w:outlineLvl w:val="1"/>
              <w:rPr>
                <w:rFonts w:ascii="仿宋_GB2312" w:hAnsi="宋体" w:eastAsia="仿宋_GB2312"/>
                <w:kern w:val="0"/>
                <w:szCs w:val="21"/>
              </w:rPr>
            </w:pPr>
          </w:p>
        </w:tc>
        <w:tc>
          <w:tcPr>
            <w:tcW w:w="311" w:type="dxa"/>
          </w:tcPr>
          <w:p>
            <w:pPr>
              <w:widowControl/>
              <w:jc w:val="righ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bCs/>
          <w:kern w:val="0"/>
          <w:sz w:val="32"/>
          <w:szCs w:val="32"/>
        </w:rPr>
      </w:pPr>
    </w:p>
    <w:p>
      <w:pPr>
        <w:widowControl/>
        <w:outlineLvl w:val="1"/>
        <w:rPr>
          <w:rFonts w:ascii="仿宋_GB2312" w:hAnsi="宋体" w:eastAsia="仿宋_GB2312"/>
          <w:b/>
          <w:bCs/>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bCs/>
          <w:kern w:val="0"/>
          <w:sz w:val="32"/>
          <w:szCs w:val="32"/>
        </w:rPr>
        <w:t xml:space="preserve">     本单位无</w:t>
      </w:r>
      <w:r>
        <w:rPr>
          <w:rFonts w:hint="eastAsia" w:ascii="仿宋_GB2312" w:hAnsi="宋体" w:eastAsia="仿宋_GB2312" w:cs="宋体"/>
          <w:b/>
          <w:bCs/>
          <w:color w:val="000000"/>
          <w:kern w:val="0"/>
          <w:sz w:val="32"/>
          <w:szCs w:val="32"/>
        </w:rPr>
        <w:t>项目</w:t>
      </w:r>
      <w:r>
        <w:rPr>
          <w:rFonts w:hint="eastAsia" w:ascii="仿宋_GB2312" w:hAnsi="宋体" w:eastAsia="仿宋_GB2312"/>
          <w:b/>
          <w:bCs/>
          <w:kern w:val="0"/>
          <w:sz w:val="32"/>
          <w:szCs w:val="32"/>
        </w:rPr>
        <w:t>经费预算支出</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编制单位：昌吉州政府投资项目评审中心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1.55</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1.55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1.55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编制单位：昌吉州政府投资项目评审中心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pPr>
    </w:p>
    <w:p>
      <w:pPr>
        <w:widowControl/>
        <w:jc w:val="left"/>
        <w:outlineLvl w:val="1"/>
        <w:sectPr>
          <w:pgSz w:w="11906" w:h="16838"/>
          <w:pgMar w:top="2098" w:right="1418" w:bottom="1928" w:left="1588" w:header="851" w:footer="992" w:gutter="0"/>
          <w:pgNumType w:fmt="numberInDash"/>
          <w:cols w:space="720" w:num="1"/>
          <w:docGrid w:linePitch="312" w:charSpace="0"/>
        </w:sectPr>
      </w:pPr>
      <w:r>
        <w:rPr>
          <w:rFonts w:hint="eastAsia"/>
        </w:rPr>
        <w:t xml:space="preserve">       </w:t>
      </w:r>
      <w:r>
        <w:rPr>
          <w:rFonts w:hint="eastAsia" w:ascii="仿宋_GB2312" w:hAnsi="宋体" w:eastAsia="仿宋_GB2312"/>
          <w:b/>
          <w:kern w:val="0"/>
          <w:sz w:val="32"/>
          <w:szCs w:val="32"/>
        </w:rPr>
        <w:t>本单位无政府性基金预算支出</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关于昌吉州政府投资项目评审中心2019年收支预算情况总体说明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昌吉州政府投资项目评审中心2019</w:t>
      </w:r>
      <w:r>
        <w:rPr>
          <w:rFonts w:hint="eastAsia" w:ascii="仿宋_GB2312" w:hAnsi="宋体" w:eastAsia="仿宋_GB2312" w:cs="宋体"/>
          <w:kern w:val="0"/>
          <w:sz w:val="32"/>
          <w:szCs w:val="32"/>
        </w:rPr>
        <w:t>年所有收入和支出均纳入部门预算管理。收支总预算57.59万元。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收入预算包括：一般公共预算收入57.59万元。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支出预算包括：一般公共服务支出57.59万元</w:t>
      </w:r>
      <w:r>
        <w:rPr>
          <w:rFonts w:hint="eastAsia" w:ascii="仿宋_GB2312" w:hAnsi="宋体" w:eastAsia="仿宋_GB2312" w:cs="宋体"/>
          <w:b/>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二、关于昌吉州政府投资项目评审中心2019年收入预算情况说明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昌吉州政府投资项目评审中心部门收入预算57.59万元，其中：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一般公共预算57.59万元，占100 %，比上年增加9.21万元，主要原因是：在职增加1 人,在职人员调资，相应增加人员经费和公用经费支出；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占0 %，比上年增加（减少）0万元，主要原因是：未安排；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三、关于昌吉州政府投资项目评审中心2019年支出预算情况说明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昌吉州政府投资项目评审中心2019年支出预算57.59万元，其中：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基本支出57.59万元，占100%，比上年增加9.21万元，主要原因是：在职增加1 人,在职人员调资，相应增加人员经费和公用经费支出；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项目支出0万元，占0%，比上年增加（减少）0万元，主要原因是：无项目支出预算。</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w:t>
      </w:r>
      <w:r>
        <w:rPr>
          <w:rFonts w:hint="eastAsia" w:ascii="黑体" w:hAnsi="宋体" w:eastAsia="黑体" w:cs="宋体"/>
          <w:kern w:val="0"/>
          <w:sz w:val="32"/>
          <w:szCs w:val="32"/>
          <w:highlight w:val="none"/>
        </w:rPr>
        <w:t>昌吉州政府投资项目评审中心2019</w:t>
      </w:r>
      <w:r>
        <w:rPr>
          <w:rFonts w:hint="eastAsia" w:ascii="黑体" w:hAnsi="黑体" w:eastAsia="黑体" w:cs="宋体"/>
          <w:bCs/>
          <w:kern w:val="0"/>
          <w:sz w:val="32"/>
          <w:szCs w:val="32"/>
          <w:highlight w:val="none"/>
        </w:rPr>
        <w:t>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2019年财政拨款收支总预算57.59万元。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57.59</w:t>
      </w:r>
      <w:r>
        <w:rPr>
          <w:rFonts w:hint="eastAsia" w:ascii="仿宋_GB2312" w:hAnsi="宋体" w:eastAsia="仿宋_GB2312" w:cs="宋体"/>
          <w:kern w:val="0"/>
          <w:sz w:val="32"/>
          <w:szCs w:val="32"/>
        </w:rPr>
        <w:t>万元，主要用于人员经费和公用经费支出。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五、关于昌吉州政府投资项目评审中心2019年一般公共预算当年拨款情况说明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昌吉州政府投资项目评审中心2019年一般公共预算拨款基本支出57.59万元，比上年执行数增加2.67万元，增长4.86%。主要原因是：在职增加1 人,在职人员调资，相应增加人员经费和公用经费支出。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w:t>
      </w:r>
      <w:r>
        <w:rPr>
          <w:rFonts w:hint="eastAsia" w:ascii="仿宋_GB2312" w:eastAsia="仿宋_GB2312"/>
          <w:sz w:val="32"/>
          <w:szCs w:val="32"/>
          <w:highlight w:val="none"/>
          <w:lang w:val="en-US" w:eastAsia="zh-CN"/>
        </w:rPr>
        <w:t>201</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rPr>
        <w:t>57.59万元，占100%。</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发展和改革事务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lang w:val="en-US" w:eastAsia="zh-CN"/>
        </w:rPr>
        <w:t>50</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57.59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比上年执行数增加2.67万元，增长4.86%。主要原因是：在职增加1 人,在职人员调资，相应增加人员经费和公用经费支出。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六、关于昌吉州政府投资项目评审中心2019年一般公共预算基本支出情况说明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昌吉州政府投资项目评审中心2019年一般公共预算基本支出57.59万元，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50.14万元，主要包括：基本工资、津贴补贴、奖金、伙食补助费、机关事业单位基本养老保险缴费、职工基本医疗保险缴费、公务员医疗补助缴费、其他社会保障缴费、住房公积金、其他工资福利支出、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公用经费7.45万元，主要包括：办公费、水费、电费、邮电费、差旅费、维修（护）费、培训费、工会经费、福利费、其他商品和服务支出等。</w:t>
      </w:r>
    </w:p>
    <w:p>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关于昌吉州政府投资项目评审中心2019年项目支出情况说明</w:t>
      </w:r>
    </w:p>
    <w:p>
      <w:pPr>
        <w:widowControl/>
        <w:spacing w:line="580" w:lineRule="exact"/>
        <w:jc w:val="left"/>
        <w:rPr>
          <w:rFonts w:ascii="黑体" w:hAnsi="宋体" w:eastAsia="黑体" w:cs="宋体"/>
          <w:kern w:val="0"/>
          <w:sz w:val="32"/>
          <w:szCs w:val="32"/>
        </w:rPr>
      </w:pPr>
      <w:r>
        <w:rPr>
          <w:rFonts w:hint="eastAsia" w:ascii="黑体" w:hAnsi="宋体" w:eastAsia="黑体" w:cs="宋体"/>
          <w:kern w:val="0"/>
          <w:sz w:val="32"/>
          <w:szCs w:val="32"/>
        </w:rPr>
        <w:t xml:space="preserve">    </w:t>
      </w:r>
      <w:r>
        <w:rPr>
          <w:rFonts w:hint="eastAsia" w:ascii="仿宋_GB2312" w:hAnsi="宋体" w:eastAsia="仿宋_GB2312" w:cs="宋体"/>
          <w:kern w:val="0"/>
          <w:sz w:val="32"/>
          <w:szCs w:val="32"/>
        </w:rPr>
        <w:t>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八、关于昌吉州政府投资项目评审中心2019年一般公共预算“三公”经费预算情况说明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昌吉州政府投资项目评审中心2019年“三公”经费财政拨款预算数为1.55万元，其中：因公出国（境）费0万元，公务用车购置0万元，公务用车运行费1.55万元，公务接待费0万元。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0.22万元，其中：因公出国（境）费增加（减少）0万元，主要原因是：未安排预算；公务用车购置费为0，未安排预算。公务用车运行费减少0.02万元，主要原因是：降低“三公”经费预算支出；公务接待费减少0.20万元，主要原因是：严格执行中央八项规定和自治区十条规定，以及昌吉州政府关于厉行节约反对浪费的规定。</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九、关于昌吉州政府投资项目评审中心2019年政府性基金预算拨款情况说明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2019年，昌吉州政府投资项目评审中心机关运行经费财政拨款预算7.45万元，比上年预算增加0.43万元，增长6.13%。主要原因是：在职增加1 人，增加公用经费支出。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2019年，昌吉州政府投资项目评审中心政府采购预算0万元，其中：政府采购货物预算0万元，政府采购工程预算0万元，政府采购服务预算0万元。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截至201</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年底，</w:t>
      </w:r>
      <w:r>
        <w:rPr>
          <w:rFonts w:hint="eastAsia" w:ascii="仿宋_GB2312" w:hAnsi="宋体" w:eastAsia="仿宋_GB2312" w:cs="宋体"/>
          <w:kern w:val="0"/>
          <w:sz w:val="32"/>
          <w:szCs w:val="32"/>
        </w:rPr>
        <w:t>昌吉州政府投资项目评审中心占用使用国有资产总体情况为：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昌吉州政府投资项目评审中心所占用使用国有资产</w:t>
      </w:r>
      <w:r>
        <w:rPr>
          <w:rFonts w:hint="eastAsia" w:ascii="仿宋_GB2312" w:hAnsi="宋体" w:eastAsia="仿宋_GB2312" w:cs="宋体"/>
          <w:kern w:val="0"/>
          <w:sz w:val="32"/>
          <w:szCs w:val="32"/>
          <w:lang w:eastAsia="zh-CN"/>
        </w:rPr>
        <w:t>大部分</w:t>
      </w:r>
      <w:r>
        <w:rPr>
          <w:rFonts w:hint="eastAsia" w:ascii="仿宋_GB2312" w:hAnsi="宋体" w:eastAsia="仿宋_GB2312" w:cs="宋体"/>
          <w:kern w:val="0"/>
          <w:sz w:val="32"/>
          <w:szCs w:val="32"/>
        </w:rPr>
        <w:t>由州发改委统一管理登记。</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1.房屋300平方米，价值29.04万元。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2.车辆1辆，价值15.74万元；其中：一般公务用车1辆，价值15.74万元；执法执勤用车0辆，价值0万元；其他车辆0辆，价值0万元。</w:t>
      </w:r>
    </w:p>
    <w:p>
      <w:pPr>
        <w:widowControl/>
        <w:tabs>
          <w:tab w:val="left" w:pos="5676"/>
        </w:tabs>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3.办公家具价值1.32万元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2019年度，本年度实行绩效管理的项目0个，涉及预算金额0万元。具体情况见下表（按项目分别填报）：</w:t>
      </w:r>
    </w:p>
    <w:p>
      <w:pPr>
        <w:widowControl/>
        <w:spacing w:line="580" w:lineRule="exact"/>
        <w:jc w:val="left"/>
        <w:rPr>
          <w:rFonts w:ascii="仿宋_GB2312" w:hAnsi="宋体" w:eastAsia="仿宋_GB2312" w:cs="宋体"/>
          <w:kern w:val="0"/>
          <w:sz w:val="32"/>
          <w:szCs w:val="32"/>
        </w:rPr>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2"/>
        <w:gridCol w:w="1359"/>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vAlign w:val="bottom"/>
          </w:tcPr>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p>
        </w:tc>
        <w:tc>
          <w:tcPr>
            <w:tcW w:w="181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09"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auto"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195" w:type="dxa"/>
            <w:vMerge w:val="continue"/>
            <w:tcBorders>
              <w:top w:val="nil"/>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auto"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857" w:type="dxa"/>
            <w:vMerge w:val="restart"/>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21" w:type="dxa"/>
            <w:gridSpan w:val="4"/>
            <w:tcBorders>
              <w:top w:val="single" w:color="auto" w:sz="4" w:space="0"/>
              <w:left w:val="nil"/>
              <w:bottom w:val="single" w:color="auto" w:sz="4" w:space="0"/>
              <w:right w:val="single" w:color="000000" w:sz="4" w:space="0"/>
            </w:tcBorders>
            <w:vAlign w:val="center"/>
          </w:tcPr>
          <w:p>
            <w:pPr>
              <w:widowControl/>
              <w:jc w:val="left"/>
              <w:rPr>
                <w:rFonts w:ascii="宋体" w:hAnsi="宋体" w:cs="宋体"/>
                <w:kern w:val="0"/>
                <w:sz w:val="18"/>
                <w:szCs w:val="18"/>
              </w:rPr>
            </w:pPr>
          </w:p>
        </w:tc>
        <w:tc>
          <w:tcPr>
            <w:tcW w:w="4000"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18"/>
                <w:szCs w:val="18"/>
              </w:rPr>
            </w:pPr>
          </w:p>
        </w:tc>
        <w:tc>
          <w:tcPr>
            <w:tcW w:w="1857" w:type="dxa"/>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auto"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4000" w:type="dxa"/>
            <w:gridSpan w:val="2"/>
            <w:tcBorders>
              <w:top w:val="single" w:color="auto"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bottom w:val="single" w:color="000000" w:sz="4" w:space="0"/>
              <w:right w:val="single" w:color="000000" w:sz="4" w:space="0"/>
            </w:tcBorders>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1" w:type="dxa"/>
            <w:gridSpan w:val="4"/>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c>
          <w:tcPr>
            <w:tcW w:w="4000" w:type="dxa"/>
            <w:gridSpan w:val="2"/>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p>
        </w:tc>
      </w:tr>
    </w:tbl>
    <w:p>
      <w:pPr>
        <w:widowControl/>
        <w:jc w:val="left"/>
        <w:rPr>
          <w:rFonts w:ascii="楷体_GB2312" w:hAnsi="宋体" w:eastAsia="楷体_GB2312" w:cs="宋体"/>
          <w:b/>
          <w:kern w:val="0"/>
          <w:sz w:val="32"/>
          <w:szCs w:val="32"/>
        </w:rPr>
        <w:sectPr>
          <w:pgSz w:w="16838" w:h="11906" w:orient="landscape"/>
          <w:pgMar w:top="1800" w:right="1440" w:bottom="1800" w:left="1440" w:header="851" w:footer="992" w:gutter="0"/>
          <w:cols w:space="720" w:num="1"/>
          <w:docGrid w:type="lines" w:linePitch="312" w:charSpace="0"/>
        </w:sectPr>
      </w:pPr>
    </w:p>
    <w:p>
      <w:pPr>
        <w:widowControl/>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公务用车运行费和公务接待费。其中，公务用车运行费指单位公务用车燃料费、维修费、过路过桥费、保险费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指本级部门的公用经费，包括办公及印刷费、邮电费、差旅费、会议费、福利费、日常维修费、办公用房水电费及其他费用。</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昌吉州政府投资项目评审中心</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ialog">
    <w:altName w:val="Times New Roman"/>
    <w:panose1 w:val="00000000000000000000"/>
    <w:charset w:val="00"/>
    <w:family w:val="auto"/>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w:t>
    </w:r>
    <w:r>
      <w:rPr>
        <w:rFonts w:ascii="宋体" w:hAnsi="宋体" w:eastAsia="宋体"/>
        <w:sz w:val="28"/>
        <w:szCs w:val="28"/>
      </w:rPr>
      <w:t xml:space="preserve"> 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8C0DC4"/>
    <w:multiLevelType w:val="singleLevel"/>
    <w:tmpl w:val="DD8C0DC4"/>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VerticalSpacing w:val="159"/>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D6F97"/>
    <w:rsid w:val="00172A27"/>
    <w:rsid w:val="001A5E1E"/>
    <w:rsid w:val="002A4797"/>
    <w:rsid w:val="004A725D"/>
    <w:rsid w:val="00830207"/>
    <w:rsid w:val="0097307A"/>
    <w:rsid w:val="01A45240"/>
    <w:rsid w:val="02F45E67"/>
    <w:rsid w:val="04AC7736"/>
    <w:rsid w:val="050E3F58"/>
    <w:rsid w:val="052109FA"/>
    <w:rsid w:val="06133805"/>
    <w:rsid w:val="066C7717"/>
    <w:rsid w:val="06C8202F"/>
    <w:rsid w:val="06ED47ED"/>
    <w:rsid w:val="074A1304"/>
    <w:rsid w:val="085F33CA"/>
    <w:rsid w:val="09F04A5A"/>
    <w:rsid w:val="0A262D36"/>
    <w:rsid w:val="0A420FE1"/>
    <w:rsid w:val="0B1161B7"/>
    <w:rsid w:val="0D524611"/>
    <w:rsid w:val="0DF626F7"/>
    <w:rsid w:val="11127111"/>
    <w:rsid w:val="1127642E"/>
    <w:rsid w:val="113B24D4"/>
    <w:rsid w:val="11A92B07"/>
    <w:rsid w:val="16D23D7F"/>
    <w:rsid w:val="18553EFB"/>
    <w:rsid w:val="1A1A0363"/>
    <w:rsid w:val="1B003AD9"/>
    <w:rsid w:val="1BB76830"/>
    <w:rsid w:val="1E011EC8"/>
    <w:rsid w:val="1E1959ED"/>
    <w:rsid w:val="1F8D4ED2"/>
    <w:rsid w:val="1FAF30E4"/>
    <w:rsid w:val="213F011B"/>
    <w:rsid w:val="21A57AC0"/>
    <w:rsid w:val="2255468D"/>
    <w:rsid w:val="23E55A70"/>
    <w:rsid w:val="267D5AB4"/>
    <w:rsid w:val="2691512E"/>
    <w:rsid w:val="27BB513C"/>
    <w:rsid w:val="290369B4"/>
    <w:rsid w:val="2960326E"/>
    <w:rsid w:val="2B1264B8"/>
    <w:rsid w:val="2D8E0DCA"/>
    <w:rsid w:val="2DB713B1"/>
    <w:rsid w:val="2E8A1F67"/>
    <w:rsid w:val="2E8E41F0"/>
    <w:rsid w:val="2E9C5704"/>
    <w:rsid w:val="2F3D6FB1"/>
    <w:rsid w:val="2F3E6592"/>
    <w:rsid w:val="2F6A4E58"/>
    <w:rsid w:val="32445586"/>
    <w:rsid w:val="329B2DFB"/>
    <w:rsid w:val="32CF7944"/>
    <w:rsid w:val="350F0F1C"/>
    <w:rsid w:val="35F90E99"/>
    <w:rsid w:val="36E70B22"/>
    <w:rsid w:val="38103CE4"/>
    <w:rsid w:val="395C4FD3"/>
    <w:rsid w:val="3A692962"/>
    <w:rsid w:val="3B2E3C01"/>
    <w:rsid w:val="3C8C0971"/>
    <w:rsid w:val="3C994D10"/>
    <w:rsid w:val="3E790F0E"/>
    <w:rsid w:val="3EEC59CA"/>
    <w:rsid w:val="3F345DBE"/>
    <w:rsid w:val="405C1300"/>
    <w:rsid w:val="44B951D0"/>
    <w:rsid w:val="44E1570C"/>
    <w:rsid w:val="478046DF"/>
    <w:rsid w:val="481A5E03"/>
    <w:rsid w:val="48973EA7"/>
    <w:rsid w:val="4A614797"/>
    <w:rsid w:val="4B1906C2"/>
    <w:rsid w:val="4B481211"/>
    <w:rsid w:val="4C3B1A9E"/>
    <w:rsid w:val="4DB31D2B"/>
    <w:rsid w:val="4E7F4257"/>
    <w:rsid w:val="531F3248"/>
    <w:rsid w:val="538B39A0"/>
    <w:rsid w:val="55DB79EC"/>
    <w:rsid w:val="56D0597B"/>
    <w:rsid w:val="57947277"/>
    <w:rsid w:val="57C54F8E"/>
    <w:rsid w:val="57F347D8"/>
    <w:rsid w:val="592461CF"/>
    <w:rsid w:val="59604D2F"/>
    <w:rsid w:val="5A6C6166"/>
    <w:rsid w:val="5B1024F7"/>
    <w:rsid w:val="5C5B3413"/>
    <w:rsid w:val="5C7507E9"/>
    <w:rsid w:val="5D7209DD"/>
    <w:rsid w:val="5D724260"/>
    <w:rsid w:val="5D9D2B26"/>
    <w:rsid w:val="5E070ED0"/>
    <w:rsid w:val="5FCF4009"/>
    <w:rsid w:val="66903DD3"/>
    <w:rsid w:val="6987602F"/>
    <w:rsid w:val="699917CC"/>
    <w:rsid w:val="6B2525D8"/>
    <w:rsid w:val="6B4E599A"/>
    <w:rsid w:val="6B6668C4"/>
    <w:rsid w:val="6D303931"/>
    <w:rsid w:val="6E9C0384"/>
    <w:rsid w:val="6F146FCA"/>
    <w:rsid w:val="6F5B51C0"/>
    <w:rsid w:val="6FED49BC"/>
    <w:rsid w:val="706A0294"/>
    <w:rsid w:val="70FA3BC4"/>
    <w:rsid w:val="713B7C54"/>
    <w:rsid w:val="715920DB"/>
    <w:rsid w:val="77270C09"/>
    <w:rsid w:val="77F459C7"/>
    <w:rsid w:val="7825692D"/>
    <w:rsid w:val="7BAD2677"/>
    <w:rsid w:val="7C0E3995"/>
    <w:rsid w:val="7C9570F1"/>
    <w:rsid w:val="7D802572"/>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styleId="7">
    <w:name w:val="page number"/>
    <w:basedOn w:val="5"/>
    <w:unhideWhenUsed/>
    <w:qFormat/>
    <w:uiPriority w:val="99"/>
  </w:style>
  <w:style w:type="paragraph" w:customStyle="1" w:styleId="8">
    <w:name w:val="批注框文本1"/>
    <w:basedOn w:val="1"/>
    <w:link w:val="16"/>
    <w:qFormat/>
    <w:uiPriority w:val="0"/>
    <w:rPr>
      <w:sz w:val="18"/>
      <w:szCs w:val="18"/>
    </w:rPr>
  </w:style>
  <w:style w:type="paragraph" w:customStyle="1" w:styleId="9">
    <w:name w:val="正文文本缩进 31"/>
    <w:basedOn w:val="1"/>
    <w:link w:val="1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0">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列出段落1"/>
    <w:basedOn w:val="1"/>
    <w:qFormat/>
    <w:uiPriority w:val="0"/>
    <w:pPr>
      <w:ind w:firstLine="420" w:firstLineChars="200"/>
    </w:pPr>
    <w:rPr>
      <w:rFonts w:ascii="Calibri" w:hAnsi="Calibri"/>
      <w:szCs w:val="22"/>
    </w:rPr>
  </w:style>
  <w:style w:type="paragraph" w:customStyle="1" w:styleId="12">
    <w:name w:val="普通(网站)1"/>
    <w:basedOn w:val="1"/>
    <w:qFormat/>
    <w:uiPriority w:val="0"/>
    <w:rPr>
      <w:rFonts w:ascii="Calibri" w:hAnsi="Calibri" w:cs="黑体"/>
      <w:sz w:val="24"/>
    </w:rPr>
  </w:style>
  <w:style w:type="paragraph" w:customStyle="1" w:styleId="1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普通(网站)21"/>
    <w:basedOn w:val="1"/>
    <w:qFormat/>
    <w:uiPriority w:val="0"/>
    <w:rPr>
      <w:rFonts w:ascii="Calibri" w:hAnsi="Calibri" w:cs="黑体"/>
      <w:sz w:val="24"/>
    </w:rPr>
  </w:style>
  <w:style w:type="paragraph" w:customStyle="1" w:styleId="15">
    <w:name w:val="普通(网站)3"/>
    <w:basedOn w:val="1"/>
    <w:qFormat/>
    <w:uiPriority w:val="0"/>
    <w:rPr>
      <w:rFonts w:ascii="Calibri" w:hAnsi="Calibri" w:cs="黑体"/>
      <w:sz w:val="24"/>
    </w:rPr>
  </w:style>
  <w:style w:type="character" w:customStyle="1" w:styleId="16">
    <w:name w:val="批注框文本 Char"/>
    <w:link w:val="8"/>
    <w:semiHidden/>
    <w:qFormat/>
    <w:uiPriority w:val="0"/>
    <w:rPr>
      <w:rFonts w:ascii="Times New Roman" w:hAnsi="Times New Roman" w:eastAsia="宋体" w:cs="Times New Roman"/>
      <w:sz w:val="18"/>
      <w:szCs w:val="18"/>
    </w:rPr>
  </w:style>
  <w:style w:type="character" w:customStyle="1" w:styleId="17">
    <w:name w:val="页脚 字符"/>
    <w:link w:val="2"/>
    <w:semiHidden/>
    <w:qFormat/>
    <w:uiPriority w:val="0"/>
    <w:rPr>
      <w:rFonts w:ascii="Times New Roman" w:hAnsi="Times New Roman" w:eastAsia="黑体" w:cs="Times New Roman"/>
      <w:snapToGrid w:val="0"/>
      <w:kern w:val="0"/>
      <w:sz w:val="18"/>
      <w:szCs w:val="18"/>
    </w:rPr>
  </w:style>
  <w:style w:type="character" w:customStyle="1" w:styleId="18">
    <w:name w:val="页眉 字符"/>
    <w:link w:val="3"/>
    <w:semiHidden/>
    <w:qFormat/>
    <w:uiPriority w:val="0"/>
    <w:rPr>
      <w:rFonts w:ascii="Times New Roman" w:hAnsi="Times New Roman" w:eastAsia="宋体" w:cs="Times New Roman"/>
      <w:sz w:val="18"/>
      <w:szCs w:val="18"/>
    </w:rPr>
  </w:style>
  <w:style w:type="character" w:customStyle="1" w:styleId="19">
    <w:name w:val="正文文本缩进 3 Char"/>
    <w:link w:val="9"/>
    <w:semiHidden/>
    <w:qFormat/>
    <w:uiPriority w:val="0"/>
    <w:rPr>
      <w:rFonts w:ascii="Times New Roman" w:hAnsi="Times New Roman" w:eastAsia="仿宋_GB2312" w:cs="Times New Roman"/>
      <w:sz w:val="32"/>
      <w:szCs w:val="24"/>
    </w:rPr>
  </w:style>
  <w:style w:type="character" w:customStyle="1" w:styleId="20">
    <w:name w:val="页码1"/>
    <w:basedOn w:val="5"/>
    <w:qFormat/>
    <w:uiPriority w:val="0"/>
  </w:style>
  <w:style w:type="character" w:customStyle="1" w:styleId="21">
    <w:name w:val="font01"/>
    <w:qFormat/>
    <w:uiPriority w:val="0"/>
    <w:rPr>
      <w:rFonts w:hint="eastAsia" w:ascii="宋体" w:hAnsi="宋体" w:eastAsia="宋体" w:cs="宋体"/>
      <w:color w:val="000000"/>
      <w:sz w:val="24"/>
      <w:szCs w:val="24"/>
      <w:u w:val="none"/>
    </w:rPr>
  </w:style>
  <w:style w:type="character" w:customStyle="1" w:styleId="22">
    <w:name w:val="font11"/>
    <w:qFormat/>
    <w:uiPriority w:val="0"/>
    <w:rPr>
      <w:rFonts w:hint="default" w:ascii="Dialog" w:hAnsi="Dialog" w:eastAsia="Dialog" w:cs="Dialog"/>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19</Pages>
  <Words>1379</Words>
  <Characters>7863</Characters>
  <Lines>65</Lines>
  <Paragraphs>18</Paragraphs>
  <TotalTime>0</TotalTime>
  <ScaleCrop>false</ScaleCrop>
  <LinksUpToDate>false</LinksUpToDate>
  <CharactersWithSpaces>9224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1</cp:lastModifiedBy>
  <dcterms:modified xsi:type="dcterms:W3CDTF">2025-02-10T11:08:59Z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