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ind w:firstLine="880" w:firstLineChars="200"/>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昌吉州国资委2019年部门预算公开</w:t>
      </w:r>
    </w:p>
    <w:p>
      <w:pPr>
        <w:widowControl/>
        <w:spacing w:before="100" w:beforeAutospacing="1" w:after="100" w:afterAutospacing="1"/>
        <w:ind w:firstLine="880" w:firstLineChars="200"/>
        <w:jc w:val="center"/>
        <w:outlineLvl w:val="1"/>
        <w:rPr>
          <w:rFonts w:ascii="方正小标宋_GBK" w:hAnsi="宋体" w:eastAsia="方正小标宋_GBK"/>
          <w:kern w:val="0"/>
          <w:sz w:val="44"/>
          <w:szCs w:val="44"/>
        </w:rPr>
      </w:pPr>
      <w:bookmarkStart w:id="0" w:name="_GoBack"/>
      <w:bookmarkEnd w:id="0"/>
    </w:p>
    <w:p>
      <w:pPr>
        <w:widowControl/>
        <w:spacing w:before="100" w:beforeAutospacing="1" w:after="100" w:afterAutospacing="1"/>
        <w:ind w:firstLine="880" w:firstLineChars="200"/>
        <w:jc w:val="center"/>
        <w:outlineLvl w:val="1"/>
        <w:rPr>
          <w:rFonts w:ascii="方正小标宋_GBK" w:hAnsi="宋体" w:eastAsia="方正小标宋_GBK"/>
          <w:kern w:val="0"/>
          <w:sz w:val="44"/>
          <w:szCs w:val="44"/>
        </w:rPr>
      </w:pPr>
    </w:p>
    <w:p>
      <w:pPr>
        <w:widowControl/>
        <w:spacing w:before="100" w:beforeAutospacing="1" w:after="100" w:afterAutospacing="1"/>
        <w:ind w:firstLine="880" w:firstLineChars="200"/>
        <w:jc w:val="center"/>
        <w:outlineLvl w:val="1"/>
        <w:rPr>
          <w:rFonts w:ascii="方正小标宋_GBK" w:hAnsi="宋体" w:eastAsia="方正小标宋_GBK"/>
          <w:kern w:val="0"/>
          <w:sz w:val="44"/>
          <w:szCs w:val="44"/>
        </w:rPr>
      </w:pPr>
    </w:p>
    <w:p>
      <w:pPr>
        <w:widowControl/>
        <w:spacing w:before="100" w:beforeAutospacing="1" w:after="100" w:afterAutospacing="1"/>
        <w:ind w:firstLine="880" w:firstLineChars="200"/>
        <w:jc w:val="center"/>
        <w:outlineLvl w:val="1"/>
        <w:rPr>
          <w:rFonts w:ascii="方正小标宋_GBK" w:hAnsi="宋体" w:eastAsia="方正小标宋_GBK"/>
          <w:kern w:val="0"/>
          <w:sz w:val="44"/>
          <w:szCs w:val="44"/>
        </w:rPr>
      </w:pPr>
    </w:p>
    <w:p>
      <w:pPr>
        <w:widowControl/>
        <w:spacing w:before="100" w:beforeAutospacing="1" w:after="100" w:afterAutospacing="1"/>
        <w:ind w:firstLine="880" w:firstLineChars="200"/>
        <w:jc w:val="center"/>
        <w:outlineLvl w:val="1"/>
        <w:rPr>
          <w:rFonts w:ascii="方正小标宋_GBK" w:hAnsi="宋体" w:eastAsia="方正小标宋_GBK"/>
          <w:kern w:val="0"/>
          <w:sz w:val="44"/>
          <w:szCs w:val="44"/>
        </w:rPr>
      </w:pPr>
    </w:p>
    <w:p>
      <w:pPr>
        <w:widowControl/>
        <w:spacing w:before="100" w:beforeAutospacing="1" w:after="100" w:afterAutospacing="1"/>
        <w:ind w:firstLine="880" w:firstLineChars="200"/>
        <w:jc w:val="center"/>
        <w:outlineLvl w:val="1"/>
        <w:rPr>
          <w:rFonts w:ascii="方正小标宋_GBK" w:hAnsi="宋体" w:eastAsia="方正小标宋_GBK"/>
          <w:kern w:val="0"/>
          <w:sz w:val="44"/>
          <w:szCs w:val="44"/>
        </w:rPr>
      </w:pPr>
    </w:p>
    <w:p>
      <w:pPr>
        <w:widowControl/>
        <w:spacing w:before="100" w:beforeAutospacing="1" w:after="100" w:afterAutospacing="1"/>
        <w:ind w:firstLine="880" w:firstLineChars="200"/>
        <w:jc w:val="center"/>
        <w:outlineLvl w:val="1"/>
        <w:rPr>
          <w:rFonts w:ascii="方正小标宋_GBK" w:hAnsi="宋体" w:eastAsia="方正小标宋_GBK"/>
          <w:kern w:val="0"/>
          <w:sz w:val="44"/>
          <w:szCs w:val="44"/>
        </w:rPr>
      </w:pPr>
    </w:p>
    <w:p>
      <w:pPr>
        <w:widowControl/>
        <w:spacing w:before="100" w:beforeAutospacing="1" w:after="100" w:afterAutospacing="1"/>
        <w:ind w:firstLine="880" w:firstLineChars="200"/>
        <w:jc w:val="center"/>
        <w:outlineLvl w:val="1"/>
        <w:rPr>
          <w:rFonts w:ascii="方正小标宋_GBK" w:hAnsi="宋体" w:eastAsia="方正小标宋_GBK"/>
          <w:kern w:val="0"/>
          <w:sz w:val="44"/>
          <w:szCs w:val="44"/>
        </w:rPr>
      </w:pPr>
    </w:p>
    <w:p>
      <w:pPr>
        <w:widowControl/>
        <w:spacing w:before="100" w:beforeAutospacing="1" w:after="100" w:afterAutospacing="1"/>
        <w:ind w:firstLine="880" w:firstLineChars="200"/>
        <w:jc w:val="center"/>
        <w:outlineLvl w:val="1"/>
        <w:rPr>
          <w:rFonts w:ascii="方正小标宋_GBK" w:hAnsi="宋体" w:eastAsia="方正小标宋_GBK"/>
          <w:kern w:val="0"/>
          <w:sz w:val="44"/>
          <w:szCs w:val="44"/>
        </w:rPr>
      </w:pPr>
    </w:p>
    <w:p>
      <w:pPr>
        <w:widowControl/>
        <w:spacing w:before="100" w:beforeAutospacing="1" w:after="100" w:afterAutospacing="1"/>
        <w:ind w:firstLine="880" w:firstLineChars="200"/>
        <w:jc w:val="center"/>
        <w:outlineLvl w:val="1"/>
        <w:rPr>
          <w:rFonts w:ascii="方正小标宋_GBK" w:hAnsi="宋体" w:eastAsia="方正小标宋_GBK"/>
          <w:kern w:val="0"/>
          <w:sz w:val="44"/>
          <w:szCs w:val="44"/>
        </w:rPr>
      </w:pPr>
    </w:p>
    <w:p>
      <w:pPr>
        <w:widowControl/>
        <w:spacing w:before="100" w:beforeAutospacing="1" w:after="100" w:afterAutospacing="1"/>
        <w:ind w:firstLine="880" w:firstLineChars="200"/>
        <w:jc w:val="center"/>
        <w:outlineLvl w:val="1"/>
        <w:rPr>
          <w:rFonts w:ascii="方正小标宋_GBK" w:hAnsi="宋体" w:eastAsia="方正小标宋_GBK"/>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before="100" w:beforeAutospacing="1" w:after="100" w:afterAutospacing="1"/>
        <w:ind w:firstLine="880" w:firstLineChars="200"/>
        <w:jc w:val="center"/>
        <w:outlineLvl w:val="1"/>
        <w:rPr>
          <w:rFonts w:ascii="方正小标宋_GBK" w:hAnsi="宋体" w:eastAsia="方正小标宋_GBK"/>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第一部分昌吉州国资委概况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第二部分昌吉州国资委2019年部门预算公开表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第三部分昌吉州国资委2019年部门预算情况说明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一、关于州国资委2019年收支预算情况的总体说明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二、关于州国资委2019年收入预算情况说明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三、关于州国资委年支出预算情况说明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四、关于州国资委2019年财政拨款收支预算情况的总体说明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五、关于州国资委2019年一般公共预算当年拨款情况说明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六、关于州国资委2019年一般公共预算基本支出情况说明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七、关于州国资委2019年项目支出情况说明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八、关于州国资委2019年一般公共预算“三公”经费预算情况说明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九、关于州国资委2019年政府性基金预算拨款情况说明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昌吉州国资委单位概况</w:t>
      </w:r>
    </w:p>
    <w:p>
      <w:pPr>
        <w:widowControl/>
        <w:jc w:val="center"/>
        <w:outlineLvl w:val="1"/>
        <w:rPr>
          <w:rFonts w:ascii="宋体" w:hAnsi="宋体"/>
          <w:b/>
          <w:kern w:val="0"/>
          <w:sz w:val="32"/>
          <w:szCs w:val="32"/>
        </w:rPr>
      </w:pPr>
    </w:p>
    <w:p>
      <w:pPr>
        <w:widowControl/>
        <w:spacing w:line="560" w:lineRule="exact"/>
        <w:ind w:firstLine="640" w:firstLineChars="200"/>
        <w:jc w:val="left"/>
        <w:rPr>
          <w:rFonts w:ascii="黑体" w:hAnsi="黑体" w:eastAsia="黑体" w:cs="宋体"/>
          <w:bCs/>
          <w:kern w:val="0"/>
          <w:sz w:val="32"/>
          <w:szCs w:val="32"/>
        </w:rPr>
      </w:pPr>
      <w:r>
        <w:rPr>
          <w:rFonts w:hint="eastAsia" w:ascii="黑体" w:hAnsi="黑体" w:eastAsia="黑体" w:cs="宋体"/>
          <w:bCs/>
          <w:kern w:val="0"/>
          <w:sz w:val="32"/>
          <w:szCs w:val="32"/>
        </w:rPr>
        <w:t>一、主要职能</w:t>
      </w:r>
    </w:p>
    <w:p>
      <w:pPr>
        <w:spacing w:line="360" w:lineRule="auto"/>
        <w:rPr>
          <w:rFonts w:ascii="仿宋_GB2312" w:hAnsi="仿宋_GB2312" w:eastAsia="仿宋_GB2312"/>
          <w:sz w:val="32"/>
          <w:szCs w:val="32"/>
        </w:rPr>
      </w:pPr>
      <w:r>
        <w:rPr>
          <w:rFonts w:hint="eastAsia" w:ascii="黑体" w:hAnsi="黑体" w:eastAsia="黑体" w:cs="宋体"/>
          <w:bCs/>
          <w:kern w:val="0"/>
          <w:sz w:val="32"/>
          <w:szCs w:val="32"/>
        </w:rPr>
        <w:t xml:space="preserve">   </w:t>
      </w:r>
      <w:r>
        <w:rPr>
          <w:rFonts w:hint="eastAsia" w:ascii="仿宋_GB2312" w:hAnsi="仿宋_GB2312" w:eastAsia="仿宋_GB2312"/>
          <w:sz w:val="32"/>
          <w:szCs w:val="32"/>
        </w:rPr>
        <w:t>1、贯彻执行国家、自治区和自治州有关国有资产监督管理的方针、政策和法律、法规、规章，研究制订自治州国有资产监督管理的规章、制度和办法，并组织实施。</w:t>
      </w:r>
    </w:p>
    <w:p>
      <w:pPr>
        <w:widowControl/>
        <w:spacing w:line="560" w:lineRule="exact"/>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2、根据自治州人民政府授权，依照国家有关法律和行政法规，代表自治州人民政府依法履行国有资产出资人职责，监管州人民政府授权范围内的企业国有资产和其他经营性国有资产，维护和落实国有资产出资人的权益。</w:t>
      </w:r>
    </w:p>
    <w:p>
      <w:pPr>
        <w:widowControl/>
        <w:spacing w:line="560" w:lineRule="exact"/>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3、研究拟订自治州国有经济发展规划，探索地方国有经济发挥主导作用的领域和途径，指导、推动国有经济向自治州公共服务领域、传统优势产业、地方支柱产业、特色产业和战略性新型产业集中，提升国有经济的影响力和控制力。负责指导、审批所监管企业的发展战略。</w:t>
      </w:r>
    </w:p>
    <w:p>
      <w:pPr>
        <w:widowControl/>
        <w:spacing w:line="560" w:lineRule="exact"/>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4、承担所监管企业和经营性国有资产保值增值的责任，建立和完善国有资产保值增值指标体系，拟订所监管企业领导任期经营目标、考核标准等，对所监管企业国有资产的保值增值情况进行监管；负责所监管企业工资分配管理工作，制定所监管企业负责人收入分配政策并组织实施。</w:t>
      </w:r>
    </w:p>
    <w:p>
      <w:pPr>
        <w:widowControl/>
        <w:spacing w:line="560" w:lineRule="exact"/>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5、指导、推进自治州国有及国有控股企业的改革和重组，促进国有资产合理流动和优化配置，推动国有经济布局和结构的战略性调整；推进国有及国有控股企业与大企业大集团联合、重组和现代企业制度建设，规范公司治理结构运行，提升公司治理水平。</w:t>
      </w:r>
    </w:p>
    <w:p>
      <w:pPr>
        <w:widowControl/>
        <w:spacing w:line="560" w:lineRule="exact"/>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6、指导所监管企业建立符合社会主义市场经济体制和现代企业制度要求的选人、用人机制，促进企业管理创新和经营管理水平提升；按照法定程序对所监管企业负责人进行任免、考核并根据其经营业绩进行奖惩，建立经营者激励和约束制度。</w:t>
      </w:r>
    </w:p>
    <w:p>
      <w:pPr>
        <w:widowControl/>
        <w:spacing w:line="560" w:lineRule="exact"/>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7、按照有关规定，代表州人民政府向国有独资企业派出监事会和董事，向国有控股和国有参股企业派出董事、监事，负责监事会的日常管理工作。</w:t>
      </w:r>
    </w:p>
    <w:p>
      <w:pPr>
        <w:widowControl/>
        <w:spacing w:line="560" w:lineRule="exact"/>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8、负责组织所监管企业上交国有资本收益，参与制定国有资本经营预算有关管理制度和办法，按照有关规定负责国有资本经营预决算编制和执行等工作。</w:t>
      </w:r>
    </w:p>
    <w:p>
      <w:pPr>
        <w:widowControl/>
        <w:spacing w:line="560" w:lineRule="exact"/>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9、组织实施州本级国有企业股权管理、清产核资、资产评估、产权界定、产权登记和产权转让交易、资产统计、绩效评价及经济运行动态监测等工作；在授权范围内组织实施州本级企业国有产权转让；会同有关部门对全州企业国有产权交易活动进行监督检查，规范国有产权交易活动。</w:t>
      </w:r>
    </w:p>
    <w:p>
      <w:pPr>
        <w:widowControl/>
        <w:spacing w:line="560" w:lineRule="exact"/>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10、按照出资人职责，负责督促检查所监管企业贯彻落实国家安全生产方针、政策及有关法律法规等工作。</w:t>
      </w:r>
    </w:p>
    <w:p>
      <w:pPr>
        <w:widowControl/>
        <w:spacing w:line="560" w:lineRule="exact"/>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11、</w:t>
      </w:r>
      <w:r>
        <w:rPr>
          <w:rFonts w:ascii="仿宋_GB2312" w:hAnsi="仿宋_GB2312" w:eastAsia="仿宋_GB2312"/>
          <w:sz w:val="32"/>
          <w:szCs w:val="32"/>
        </w:rPr>
        <w:t>负责企业国有资产基础管理</w:t>
      </w:r>
      <w:r>
        <w:rPr>
          <w:rFonts w:hint="eastAsia" w:ascii="仿宋_GB2312" w:hAnsi="仿宋_GB2312" w:eastAsia="仿宋_GB2312"/>
          <w:sz w:val="32"/>
          <w:szCs w:val="32"/>
        </w:rPr>
        <w:t>和流失查处，</w:t>
      </w:r>
      <w:r>
        <w:rPr>
          <w:rFonts w:ascii="仿宋_GB2312" w:hAnsi="仿宋_GB2312" w:eastAsia="仿宋_GB2312"/>
          <w:sz w:val="32"/>
          <w:szCs w:val="32"/>
        </w:rPr>
        <w:t>起草企业国有资产监督管理的地方性法规</w:t>
      </w:r>
      <w:r>
        <w:rPr>
          <w:rFonts w:hint="eastAsia" w:ascii="仿宋_GB2312" w:hAnsi="仿宋_GB2312" w:eastAsia="仿宋_GB2312"/>
          <w:sz w:val="32"/>
          <w:szCs w:val="32"/>
        </w:rPr>
        <w:t>和政府</w:t>
      </w:r>
      <w:r>
        <w:rPr>
          <w:rFonts w:ascii="仿宋_GB2312" w:hAnsi="仿宋_GB2312" w:eastAsia="仿宋_GB2312"/>
          <w:sz w:val="32"/>
          <w:szCs w:val="32"/>
        </w:rPr>
        <w:t>规章草案，制定有关规范性文件</w:t>
      </w:r>
      <w:r>
        <w:rPr>
          <w:rFonts w:hint="eastAsia" w:ascii="仿宋_GB2312" w:hAnsi="仿宋_GB2312" w:eastAsia="仿宋_GB2312"/>
          <w:sz w:val="32"/>
          <w:szCs w:val="32"/>
        </w:rPr>
        <w:t>，依法维护国有出资人的合法权益。</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12、根据州人民政府授权，按照“政企分开、政资分开、政事分开”的要求，指导、推进行政事业单位经营性国有资产、非经营性转经营性国有资产和地方金融企业国有资产的监管工作，提高国资监管覆盖面和国有资产配置效率。</w:t>
      </w:r>
    </w:p>
    <w:p>
      <w:pPr>
        <w:widowControl/>
        <w:spacing w:line="560" w:lineRule="exact"/>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13、</w:t>
      </w:r>
      <w:r>
        <w:rPr>
          <w:rFonts w:ascii="仿宋_GB2312" w:hAnsi="仿宋_GB2312" w:eastAsia="仿宋_GB2312"/>
          <w:sz w:val="32"/>
          <w:szCs w:val="32"/>
        </w:rPr>
        <w:t>贯彻执行国家</w:t>
      </w:r>
      <w:r>
        <w:rPr>
          <w:rFonts w:hint="eastAsia" w:ascii="仿宋_GB2312" w:hAnsi="仿宋_GB2312" w:eastAsia="仿宋_GB2312"/>
          <w:sz w:val="32"/>
          <w:szCs w:val="32"/>
        </w:rPr>
        <w:t>和自治区</w:t>
      </w:r>
      <w:r>
        <w:rPr>
          <w:rFonts w:ascii="仿宋_GB2312" w:hAnsi="仿宋_GB2312" w:eastAsia="仿宋_GB2312"/>
          <w:sz w:val="32"/>
          <w:szCs w:val="32"/>
        </w:rPr>
        <w:t>有关金融工作的法律</w:t>
      </w:r>
      <w:r>
        <w:rPr>
          <w:rFonts w:hint="eastAsia" w:ascii="仿宋_GB2312" w:hAnsi="仿宋_GB2312" w:eastAsia="仿宋_GB2312"/>
          <w:sz w:val="32"/>
          <w:szCs w:val="32"/>
        </w:rPr>
        <w:t>、</w:t>
      </w:r>
      <w:r>
        <w:rPr>
          <w:rFonts w:ascii="仿宋_GB2312" w:hAnsi="仿宋_GB2312" w:eastAsia="仿宋_GB2312"/>
          <w:sz w:val="32"/>
          <w:szCs w:val="32"/>
        </w:rPr>
        <w:t>法规和方针</w:t>
      </w:r>
      <w:r>
        <w:rPr>
          <w:rFonts w:hint="eastAsia" w:ascii="仿宋_GB2312" w:hAnsi="仿宋_GB2312" w:eastAsia="仿宋_GB2312"/>
          <w:sz w:val="32"/>
          <w:szCs w:val="32"/>
        </w:rPr>
        <w:t>、</w:t>
      </w:r>
      <w:r>
        <w:rPr>
          <w:rFonts w:ascii="仿宋_GB2312" w:hAnsi="仿宋_GB2312" w:eastAsia="仿宋_GB2312"/>
          <w:sz w:val="32"/>
          <w:szCs w:val="32"/>
        </w:rPr>
        <w:t>政策，督促金融机构落实区</w:t>
      </w:r>
      <w:r>
        <w:rPr>
          <w:rFonts w:hint="eastAsia" w:ascii="仿宋_GB2312" w:hAnsi="仿宋_GB2312" w:eastAsia="仿宋_GB2312"/>
          <w:sz w:val="32"/>
          <w:szCs w:val="32"/>
        </w:rPr>
        <w:t>州</w:t>
      </w:r>
      <w:r>
        <w:rPr>
          <w:rFonts w:ascii="仿宋_GB2312" w:hAnsi="仿宋_GB2312" w:eastAsia="仿宋_GB2312"/>
          <w:sz w:val="32"/>
          <w:szCs w:val="32"/>
        </w:rPr>
        <w:t>党委、政府</w:t>
      </w:r>
      <w:r>
        <w:rPr>
          <w:rFonts w:hint="eastAsia" w:ascii="仿宋_GB2312" w:hAnsi="仿宋_GB2312" w:eastAsia="仿宋_GB2312"/>
          <w:sz w:val="32"/>
          <w:szCs w:val="32"/>
        </w:rPr>
        <w:t>的</w:t>
      </w:r>
      <w:r>
        <w:rPr>
          <w:rFonts w:ascii="仿宋_GB2312" w:hAnsi="仿宋_GB2312" w:eastAsia="仿宋_GB2312"/>
          <w:sz w:val="32"/>
          <w:szCs w:val="32"/>
        </w:rPr>
        <w:t>各项决议、决定和工作部署</w:t>
      </w:r>
      <w:r>
        <w:rPr>
          <w:rFonts w:hint="eastAsia" w:ascii="仿宋_GB2312" w:hAnsi="仿宋_GB2312" w:eastAsia="仿宋_GB2312"/>
          <w:sz w:val="32"/>
          <w:szCs w:val="32"/>
        </w:rPr>
        <w:t>；研究拟订自治州地方金融业发展的总体规划，配合有关部门查处非法金融机构和非法金融业务，维护金融秩序；加强自治州金融服务协调工作，协调自治州与州内各金融机构的关系；研究拟订自治州信用担保体系建设和小金融机构发展规划、政策和措施，加强信用担保体系建设和小金融机构建设；负责融资性担保公司、小额贷款公司审批和监管工作，规范其运行和防控风险；承担自治州金融服务协调领导小组和小额贷款公司协调领导小组的日常工作。</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14、负责研究拟订自治州企业上市发展规划和支持上市公司发展、拟上市公司上市的政策和措施；组织做好</w:t>
      </w:r>
      <w:r>
        <w:rPr>
          <w:rFonts w:ascii="仿宋_GB2312" w:hAnsi="仿宋_GB2312" w:eastAsia="仿宋_GB2312"/>
          <w:sz w:val="32"/>
          <w:szCs w:val="32"/>
        </w:rPr>
        <w:t>后备上市企业的筛选、培育、服务和推荐工作，协调解决企业上市</w:t>
      </w:r>
      <w:r>
        <w:rPr>
          <w:rFonts w:hint="eastAsia" w:ascii="仿宋_GB2312" w:hAnsi="仿宋_GB2312" w:eastAsia="仿宋_GB2312"/>
          <w:sz w:val="32"/>
          <w:szCs w:val="32"/>
        </w:rPr>
        <w:t>的</w:t>
      </w:r>
      <w:r>
        <w:rPr>
          <w:rFonts w:ascii="仿宋_GB2312" w:hAnsi="仿宋_GB2312" w:eastAsia="仿宋_GB2312"/>
          <w:sz w:val="32"/>
          <w:szCs w:val="32"/>
        </w:rPr>
        <w:t>有关问题</w:t>
      </w:r>
      <w:r>
        <w:rPr>
          <w:rFonts w:hint="eastAsia" w:ascii="仿宋_GB2312" w:hAnsi="仿宋_GB2312" w:eastAsia="仿宋_GB2312"/>
          <w:sz w:val="32"/>
          <w:szCs w:val="32"/>
        </w:rPr>
        <w:t>；组织做好自治州上市公司并购、重组、增发新股等工作；</w:t>
      </w:r>
      <w:r>
        <w:rPr>
          <w:rFonts w:ascii="仿宋_GB2312" w:hAnsi="仿宋_GB2312" w:eastAsia="仿宋_GB2312"/>
          <w:sz w:val="32"/>
          <w:szCs w:val="32"/>
        </w:rPr>
        <w:t>负责非上市股份公司的股权登记、托管工作</w:t>
      </w:r>
      <w:r>
        <w:rPr>
          <w:rFonts w:hint="eastAsia" w:ascii="仿宋_GB2312" w:hAnsi="仿宋_GB2312" w:eastAsia="仿宋_GB2312"/>
          <w:sz w:val="32"/>
          <w:szCs w:val="32"/>
        </w:rPr>
        <w:t>；承担自治州推进企业上市工作领导小组的日常工作。</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15、</w:t>
      </w:r>
      <w:r>
        <w:rPr>
          <w:rFonts w:ascii="仿宋_GB2312" w:hAnsi="仿宋_GB2312" w:eastAsia="仿宋_GB2312"/>
          <w:sz w:val="32"/>
          <w:szCs w:val="32"/>
        </w:rPr>
        <w:t>依法</w:t>
      </w:r>
      <w:r>
        <w:rPr>
          <w:rFonts w:hint="eastAsia" w:ascii="仿宋_GB2312" w:hAnsi="仿宋_GB2312" w:eastAsia="仿宋_GB2312"/>
          <w:sz w:val="32"/>
          <w:szCs w:val="32"/>
        </w:rPr>
        <w:t>对县市人民政府、园区管理委员会企业国有资产监督管理工作进行指导和监督，推进地方国有企业改革和发展。</w:t>
      </w:r>
    </w:p>
    <w:p>
      <w:pPr>
        <w:widowControl/>
        <w:spacing w:line="560" w:lineRule="exact"/>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16、承办自治州党委、自治州人民政府交办的其它事项。</w:t>
      </w:r>
    </w:p>
    <w:p>
      <w:pPr>
        <w:widowControl/>
        <w:spacing w:line="560" w:lineRule="exact"/>
        <w:ind w:firstLine="640" w:firstLineChars="200"/>
        <w:jc w:val="left"/>
        <w:rPr>
          <w:rFonts w:ascii="黑体" w:hAnsi="黑体" w:eastAsia="黑体" w:cs="宋体"/>
          <w:bCs/>
          <w:kern w:val="0"/>
          <w:sz w:val="32"/>
          <w:szCs w:val="32"/>
        </w:rPr>
      </w:pPr>
      <w:r>
        <w:rPr>
          <w:rFonts w:hint="eastAsia" w:ascii="黑体" w:hAnsi="黑体" w:eastAsia="黑体" w:cs="宋体"/>
          <w:bCs/>
          <w:kern w:val="0"/>
          <w:sz w:val="32"/>
          <w:szCs w:val="32"/>
        </w:rPr>
        <w:t>二、机构设置及人员情况</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从预算单位构成看，昌吉州国资委部门预算包括本级预算，没有下属预算单位。</w:t>
      </w:r>
    </w:p>
    <w:p>
      <w:pPr>
        <w:widowControl/>
        <w:spacing w:line="560" w:lineRule="exact"/>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1、昌吉州国资委下设4个科室，分别是办公室、组织宣传科、考核监督科、改革发展科4个职能科室。</w:t>
      </w:r>
    </w:p>
    <w:p>
      <w:pPr>
        <w:widowControl/>
        <w:spacing w:line="560" w:lineRule="exact"/>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 xml:space="preserve"> 2、昌吉州国资委截至2018年年末，编制数：25人，实有人数25人，其中：在职25人，较上一年减少1人，退休3人，较上年增加1人，离休人员0人，增加0人，援疆干部1人，6名员额人员。</w:t>
      </w:r>
    </w:p>
    <w:p>
      <w:pPr>
        <w:spacing w:line="360" w:lineRule="auto"/>
        <w:ind w:firstLine="640" w:firstLineChars="200"/>
        <w:rPr>
          <w:rFonts w:ascii="仿宋_GB2312" w:hAnsi="黑体" w:eastAsia="仿宋_GB2312" w:cs="宋体"/>
          <w:bCs/>
          <w:kern w:val="0"/>
          <w:sz w:val="32"/>
          <w:szCs w:val="32"/>
        </w:rPr>
      </w:pPr>
    </w:p>
    <w:p>
      <w:pPr>
        <w:spacing w:line="360" w:lineRule="auto"/>
        <w:ind w:firstLine="640" w:firstLineChars="200"/>
        <w:rPr>
          <w:rFonts w:ascii="仿宋_GB2312" w:hAnsi="黑体" w:eastAsia="仿宋_GB2312" w:cs="宋体"/>
          <w:bCs/>
          <w:kern w:val="0"/>
          <w:sz w:val="32"/>
          <w:szCs w:val="32"/>
        </w:rPr>
      </w:pPr>
    </w:p>
    <w:p>
      <w:pPr>
        <w:spacing w:line="360" w:lineRule="auto"/>
        <w:ind w:firstLine="640" w:firstLineChars="200"/>
        <w:rPr>
          <w:rFonts w:ascii="仿宋_GB2312" w:hAnsi="黑体" w:eastAsia="仿宋_GB2312" w:cs="宋体"/>
          <w:bCs/>
          <w:kern w:val="0"/>
          <w:sz w:val="32"/>
          <w:szCs w:val="32"/>
        </w:rPr>
      </w:pPr>
    </w:p>
    <w:p>
      <w:pPr>
        <w:spacing w:line="360" w:lineRule="auto"/>
        <w:ind w:firstLine="640" w:firstLineChars="200"/>
        <w:rPr>
          <w:rFonts w:ascii="仿宋_GB2312" w:hAnsi="黑体" w:eastAsia="仿宋_GB2312" w:cs="宋体"/>
          <w:bCs/>
          <w:kern w:val="0"/>
          <w:sz w:val="32"/>
          <w:szCs w:val="32"/>
        </w:rPr>
      </w:pPr>
    </w:p>
    <w:p>
      <w:pPr>
        <w:spacing w:line="360" w:lineRule="auto"/>
        <w:ind w:firstLine="640" w:firstLineChars="200"/>
        <w:rPr>
          <w:rFonts w:ascii="仿宋_GB2312" w:hAnsi="黑体" w:eastAsia="仿宋_GB2312" w:cs="宋体"/>
          <w:bCs/>
          <w:kern w:val="0"/>
          <w:sz w:val="32"/>
          <w:szCs w:val="32"/>
        </w:rPr>
      </w:pPr>
    </w:p>
    <w:p>
      <w:pPr>
        <w:spacing w:line="360" w:lineRule="auto"/>
        <w:ind w:firstLine="640" w:firstLineChars="200"/>
        <w:rPr>
          <w:rFonts w:ascii="仿宋_GB2312" w:hAnsi="黑体" w:eastAsia="仿宋_GB2312" w:cs="宋体"/>
          <w:bCs/>
          <w:kern w:val="0"/>
          <w:sz w:val="32"/>
          <w:szCs w:val="32"/>
        </w:rPr>
      </w:pPr>
    </w:p>
    <w:p>
      <w:pPr>
        <w:spacing w:line="360" w:lineRule="auto"/>
        <w:ind w:firstLine="640" w:firstLineChars="200"/>
        <w:rPr>
          <w:rFonts w:ascii="仿宋_GB2312" w:hAnsi="黑体" w:eastAsia="仿宋_GB2312" w:cs="宋体"/>
          <w:bCs/>
          <w:kern w:val="0"/>
          <w:sz w:val="32"/>
          <w:szCs w:val="32"/>
        </w:rPr>
      </w:pPr>
    </w:p>
    <w:p>
      <w:pPr>
        <w:widowControl/>
        <w:spacing w:before="120" w:beforeLines="50"/>
        <w:outlineLvl w:val="1"/>
        <w:rPr>
          <w:rFonts w:ascii="黑体" w:hAnsi="黑体" w:eastAsia="黑体"/>
          <w:kern w:val="0"/>
          <w:sz w:val="32"/>
          <w:szCs w:val="32"/>
        </w:rPr>
      </w:pPr>
      <w:r>
        <w:rPr>
          <w:rFonts w:hint="eastAsia" w:ascii="黑体" w:hAnsi="黑体" w:eastAsia="黑体"/>
          <w:kern w:val="0"/>
          <w:sz w:val="32"/>
          <w:szCs w:val="32"/>
        </w:rPr>
        <w:t xml:space="preserve">           第二部分  2019年部门预算公开表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 昌吉州国资委                                  单位：万元</w:t>
      </w:r>
    </w:p>
    <w:tbl>
      <w:tblPr>
        <w:tblStyle w:val="4"/>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492.96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492.96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492.96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492.96</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492.96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 昌吉州国资委                                         单位：万元</w:t>
      </w:r>
    </w:p>
    <w:tbl>
      <w:tblPr>
        <w:tblStyle w:val="4"/>
        <w:tblW w:w="9810" w:type="dxa"/>
        <w:tblInd w:w="93" w:type="dxa"/>
        <w:tblLayout w:type="fixed"/>
        <w:tblCellMar>
          <w:top w:w="0" w:type="dxa"/>
          <w:left w:w="108" w:type="dxa"/>
          <w:bottom w:w="0" w:type="dxa"/>
          <w:right w:w="108" w:type="dxa"/>
        </w:tblCellMar>
      </w:tblPr>
      <w:tblGrid>
        <w:gridCol w:w="594"/>
        <w:gridCol w:w="240"/>
        <w:gridCol w:w="417"/>
        <w:gridCol w:w="2145"/>
        <w:gridCol w:w="994"/>
        <w:gridCol w:w="946"/>
        <w:gridCol w:w="484"/>
        <w:gridCol w:w="436"/>
        <w:gridCol w:w="680"/>
        <w:gridCol w:w="680"/>
        <w:gridCol w:w="680"/>
        <w:gridCol w:w="474"/>
        <w:gridCol w:w="1040"/>
      </w:tblGrid>
      <w:tr>
        <w:tblPrEx>
          <w:tblLayout w:type="fixed"/>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9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4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4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43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47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104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240"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9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4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3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7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4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215　</w:t>
            </w:r>
          </w:p>
        </w:tc>
        <w:tc>
          <w:tcPr>
            <w:tcW w:w="2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07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基本支出</w:t>
            </w:r>
          </w:p>
        </w:tc>
        <w:tc>
          <w:tcPr>
            <w:tcW w:w="994"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400.96</w:t>
            </w:r>
          </w:p>
        </w:tc>
        <w:tc>
          <w:tcPr>
            <w:tcW w:w="946"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400.96</w:t>
            </w:r>
          </w:p>
        </w:tc>
        <w:tc>
          <w:tcPr>
            <w:tcW w:w="484"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4"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215　</w:t>
            </w:r>
          </w:p>
        </w:tc>
        <w:tc>
          <w:tcPr>
            <w:tcW w:w="2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07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02　</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项目支出</w:t>
            </w:r>
          </w:p>
        </w:tc>
        <w:tc>
          <w:tcPr>
            <w:tcW w:w="99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92　</w:t>
            </w:r>
          </w:p>
        </w:tc>
        <w:tc>
          <w:tcPr>
            <w:tcW w:w="94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92　</w:t>
            </w:r>
          </w:p>
        </w:tc>
        <w:tc>
          <w:tcPr>
            <w:tcW w:w="4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99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492.96　</w:t>
            </w:r>
          </w:p>
        </w:tc>
        <w:tc>
          <w:tcPr>
            <w:tcW w:w="94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492.96　</w:t>
            </w:r>
          </w:p>
        </w:tc>
        <w:tc>
          <w:tcPr>
            <w:tcW w:w="4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编制部门：昌吉州国资委                                          单位：万元</w:t>
      </w:r>
    </w:p>
    <w:tbl>
      <w:tblPr>
        <w:tblStyle w:val="4"/>
        <w:tblW w:w="9229" w:type="dxa"/>
        <w:tblInd w:w="93" w:type="dxa"/>
        <w:tblLayout w:type="fixed"/>
        <w:tblCellMar>
          <w:top w:w="0" w:type="dxa"/>
          <w:left w:w="108" w:type="dxa"/>
          <w:bottom w:w="0" w:type="dxa"/>
          <w:right w:w="108" w:type="dxa"/>
        </w:tblCellMar>
      </w:tblPr>
      <w:tblGrid>
        <w:gridCol w:w="401"/>
        <w:gridCol w:w="400"/>
        <w:gridCol w:w="400"/>
        <w:gridCol w:w="2604"/>
        <w:gridCol w:w="1855"/>
        <w:gridCol w:w="1856"/>
        <w:gridCol w:w="1713"/>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215</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07</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行政运行</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400.96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400.96</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215</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07</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02</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一般行政管理实务</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92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92</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492.96</w:t>
            </w:r>
          </w:p>
        </w:tc>
        <w:tc>
          <w:tcPr>
            <w:tcW w:w="185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400.96</w:t>
            </w:r>
          </w:p>
        </w:tc>
        <w:tc>
          <w:tcPr>
            <w:tcW w:w="171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92</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outlineLvl w:val="1"/>
        <w:rPr>
          <w:rFonts w:ascii="仿宋_GB2312" w:hAnsi="宋体" w:eastAsia="仿宋_GB2312"/>
          <w:b/>
          <w:kern w:val="0"/>
          <w:sz w:val="32"/>
          <w:szCs w:val="32"/>
        </w:rPr>
      </w:pP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昌吉州国资委</w:t>
      </w:r>
      <w:r>
        <w:rPr>
          <w:rFonts w:hint="eastAsia" w:ascii="仿宋_GB2312" w:hAnsi="宋体" w:eastAsia="仿宋_GB2312"/>
          <w:kern w:val="0"/>
          <w:sz w:val="28"/>
          <w:szCs w:val="28"/>
        </w:rPr>
        <w:t xml:space="preserve">                               单位：万元</w:t>
      </w:r>
    </w:p>
    <w:tbl>
      <w:tblPr>
        <w:tblStyle w:val="4"/>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0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492.96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492.96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492.96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492.96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492.96　</w:t>
            </w: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492.96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0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4"/>
        <w:tblW w:w="9087" w:type="dxa"/>
        <w:tblInd w:w="93" w:type="dxa"/>
        <w:tblLayout w:type="fixed"/>
        <w:tblCellMar>
          <w:top w:w="0" w:type="dxa"/>
          <w:left w:w="108" w:type="dxa"/>
          <w:bottom w:w="0" w:type="dxa"/>
          <w:right w:w="108" w:type="dxa"/>
        </w:tblCellMar>
      </w:tblPr>
      <w:tblGrid>
        <w:gridCol w:w="441"/>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昌吉州国资委</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350"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215</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07</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01</w:t>
            </w:r>
          </w:p>
        </w:tc>
        <w:tc>
          <w:tcPr>
            <w:tcW w:w="251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行政运行</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400.96</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400.96</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0</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215</w:t>
            </w: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07</w:t>
            </w: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02</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一般行政管理实务</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92</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92</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492.96</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400.96</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92</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4"/>
        <w:tblW w:w="9087" w:type="dxa"/>
        <w:tblInd w:w="93" w:type="dxa"/>
        <w:tblLayout w:type="fixed"/>
        <w:tblCellMar>
          <w:top w:w="0" w:type="dxa"/>
          <w:left w:w="108" w:type="dxa"/>
          <w:bottom w:w="0" w:type="dxa"/>
          <w:right w:w="108" w:type="dxa"/>
        </w:tblCellMar>
      </w:tblPr>
      <w:tblGrid>
        <w:gridCol w:w="516"/>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3984"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编制部门：昌吉州国资委</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284" w:hRule="atLeast"/>
        </w:trPr>
        <w:tc>
          <w:tcPr>
            <w:tcW w:w="1093"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123.23</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123.23</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津贴补贴</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35.96</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35.96</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03</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奖金</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8.44</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8.44</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06</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伙食补助费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32.76</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32.76</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07</w:t>
            </w:r>
          </w:p>
        </w:tc>
        <w:tc>
          <w:tcPr>
            <w:tcW w:w="2891" w:type="dxa"/>
            <w:tcBorders>
              <w:top w:val="nil"/>
              <w:left w:val="nil"/>
              <w:bottom w:val="single" w:color="auto" w:sz="4" w:space="0"/>
              <w:right w:val="single" w:color="auto" w:sz="4" w:space="0"/>
            </w:tcBorders>
            <w:vAlign w:val="center"/>
          </w:tcPr>
          <w:p>
            <w:pPr>
              <w:widowControl/>
              <w:tabs>
                <w:tab w:val="center" w:pos="1337"/>
              </w:tabs>
              <w:jc w:val="center"/>
              <w:rPr>
                <w:rFonts w:ascii="宋体" w:hAnsi="宋体" w:cs="宋体"/>
                <w:color w:val="000000"/>
                <w:kern w:val="0"/>
                <w:sz w:val="20"/>
                <w:szCs w:val="20"/>
              </w:rPr>
            </w:pPr>
            <w:r>
              <w:rPr>
                <w:rFonts w:hint="eastAsia" w:ascii="宋体" w:hAnsi="宋体" w:cs="宋体"/>
                <w:color w:val="000000"/>
                <w:kern w:val="0"/>
                <w:sz w:val="20"/>
                <w:szCs w:val="20"/>
              </w:rPr>
              <w:t>基础性绩效工资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21.69</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21.69</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07</w:t>
            </w:r>
          </w:p>
        </w:tc>
        <w:tc>
          <w:tcPr>
            <w:tcW w:w="2891" w:type="dxa"/>
            <w:tcBorders>
              <w:top w:val="nil"/>
              <w:left w:val="nil"/>
              <w:bottom w:val="single" w:color="auto" w:sz="4" w:space="0"/>
              <w:right w:val="single" w:color="auto" w:sz="4" w:space="0"/>
            </w:tcBorders>
            <w:vAlign w:val="center"/>
          </w:tcPr>
          <w:p>
            <w:pPr>
              <w:widowControl/>
              <w:tabs>
                <w:tab w:val="center" w:pos="1337"/>
              </w:tabs>
              <w:jc w:val="center"/>
              <w:rPr>
                <w:rFonts w:ascii="宋体" w:hAnsi="宋体" w:cs="宋体"/>
                <w:color w:val="000000"/>
                <w:kern w:val="0"/>
                <w:sz w:val="20"/>
                <w:szCs w:val="20"/>
              </w:rPr>
            </w:pPr>
            <w:r>
              <w:rPr>
                <w:rFonts w:hint="eastAsia" w:ascii="宋体" w:hAnsi="宋体" w:cs="宋体"/>
                <w:color w:val="000000"/>
                <w:kern w:val="0"/>
                <w:sz w:val="20"/>
                <w:szCs w:val="20"/>
              </w:rPr>
              <w:t>奖励性绩效工资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12.54</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12.54</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13</w:t>
            </w:r>
          </w:p>
        </w:tc>
        <w:tc>
          <w:tcPr>
            <w:tcW w:w="2891" w:type="dxa"/>
            <w:tcBorders>
              <w:top w:val="nil"/>
              <w:left w:val="nil"/>
              <w:bottom w:val="single" w:color="auto" w:sz="4" w:space="0"/>
              <w:right w:val="single" w:color="auto" w:sz="4" w:space="0"/>
            </w:tcBorders>
            <w:vAlign w:val="center"/>
          </w:tcPr>
          <w:p>
            <w:pPr>
              <w:widowControl/>
              <w:tabs>
                <w:tab w:val="center" w:pos="1337"/>
              </w:tabs>
              <w:jc w:val="center"/>
              <w:rPr>
                <w:rFonts w:ascii="宋体" w:hAnsi="宋体" w:cs="宋体"/>
                <w:color w:val="000000"/>
                <w:kern w:val="0"/>
                <w:sz w:val="20"/>
                <w:szCs w:val="20"/>
              </w:rPr>
            </w:pPr>
            <w:r>
              <w:rPr>
                <w:rFonts w:hint="eastAsia" w:ascii="宋体" w:hAnsi="宋体" w:cs="宋体"/>
                <w:color w:val="000000"/>
                <w:kern w:val="0"/>
                <w:sz w:val="20"/>
                <w:szCs w:val="20"/>
              </w:rPr>
              <w:t>　</w:t>
            </w:r>
            <w:r>
              <w:rPr>
                <w:rFonts w:hint="eastAsia" w:ascii="宋体" w:hAnsi="宋体" w:cs="宋体"/>
                <w:color w:val="000000"/>
                <w:kern w:val="0"/>
                <w:sz w:val="20"/>
                <w:szCs w:val="20"/>
              </w:rPr>
              <w:tab/>
            </w:r>
            <w:r>
              <w:rPr>
                <w:rFonts w:hint="eastAsia" w:ascii="宋体" w:hAnsi="宋体" w:cs="宋体"/>
                <w:color w:val="000000"/>
                <w:kern w:val="0"/>
                <w:sz w:val="20"/>
                <w:szCs w:val="20"/>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24.22</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24.22</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99</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其它工资福利支出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22.48</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22.48</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08</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机关事业单位养老保险缴费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40.37</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40.37</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15.43</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15.43</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10</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职工基本医疗保险费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19.84</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19.84</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12</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其它社会保障缴费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1.08</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1.08</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办公费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4.05　</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4.05　</w:t>
            </w:r>
          </w:p>
        </w:tc>
      </w:tr>
      <w:tr>
        <w:tblPrEx>
          <w:tblLayout w:type="fixed"/>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02</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印刷费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0.25　</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0.25　</w:t>
            </w:r>
          </w:p>
        </w:tc>
      </w:tr>
      <w:tr>
        <w:tblPrEx>
          <w:tblLayout w:type="fixed"/>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03</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咨询费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0.26</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0.26</w:t>
            </w:r>
          </w:p>
        </w:tc>
      </w:tr>
      <w:tr>
        <w:tblPrEx>
          <w:tblLayout w:type="fixed"/>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05</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水费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0.47　</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0.47　</w:t>
            </w:r>
          </w:p>
        </w:tc>
      </w:tr>
      <w:tr>
        <w:tblPrEx>
          <w:tblLayout w:type="fixed"/>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06</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电费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1.56</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1.56</w:t>
            </w:r>
          </w:p>
        </w:tc>
      </w:tr>
      <w:tr>
        <w:tblPrEx>
          <w:tblLayout w:type="fixed"/>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07</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邮电费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1.76</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1.76</w:t>
            </w:r>
          </w:p>
        </w:tc>
      </w:tr>
      <w:tr>
        <w:tblPrEx>
          <w:tblLayout w:type="fixed"/>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宋体" w:hAnsi="宋体" w:cs="宋体"/>
                <w:color w:val="000000"/>
                <w:kern w:val="0"/>
                <w:sz w:val="20"/>
                <w:szCs w:val="20"/>
              </w:rPr>
              <w:t>14</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取暖费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6.15</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6.15</w:t>
            </w:r>
          </w:p>
        </w:tc>
      </w:tr>
      <w:tr>
        <w:tblPrEx>
          <w:tblLayout w:type="fixed"/>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09</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物业管理费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7.15</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7.15</w:t>
            </w:r>
          </w:p>
        </w:tc>
      </w:tr>
      <w:tr>
        <w:tblPrEx>
          <w:tblLayout w:type="fixed"/>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差旅费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3.5</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3.5</w:t>
            </w:r>
          </w:p>
        </w:tc>
      </w:tr>
      <w:tr>
        <w:tblPrEx>
          <w:tblLayout w:type="fixed"/>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13</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维修费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0.36</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0.36</w:t>
            </w:r>
          </w:p>
        </w:tc>
      </w:tr>
      <w:tr>
        <w:tblPrEx>
          <w:tblLayout w:type="fixed"/>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16</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培训费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0.3</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0.3</w:t>
            </w:r>
          </w:p>
        </w:tc>
      </w:tr>
      <w:tr>
        <w:tblPrEx>
          <w:tblLayout w:type="fixed"/>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17</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公务接待费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0.62</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0.62</w:t>
            </w:r>
          </w:p>
        </w:tc>
      </w:tr>
      <w:tr>
        <w:tblPrEx>
          <w:tblLayout w:type="fixed"/>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04</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被装购置费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0.2</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0.2</w:t>
            </w:r>
          </w:p>
        </w:tc>
      </w:tr>
      <w:tr>
        <w:tblPrEx>
          <w:tblLayout w:type="fixed"/>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26</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劳务费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2.5</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2.5</w:t>
            </w:r>
          </w:p>
        </w:tc>
      </w:tr>
      <w:tr>
        <w:tblPrEx>
          <w:tblLayout w:type="fixed"/>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28</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工会经费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2.46</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2.46</w:t>
            </w:r>
          </w:p>
        </w:tc>
      </w:tr>
      <w:tr>
        <w:tblPrEx>
          <w:tblLayout w:type="fixed"/>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29</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福利费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1.03</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1.03</w:t>
            </w:r>
          </w:p>
        </w:tc>
      </w:tr>
      <w:tr>
        <w:tblPrEx>
          <w:tblLayout w:type="fixed"/>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31</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公务用车运行维护费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4.32</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4.32</w:t>
            </w:r>
          </w:p>
        </w:tc>
      </w:tr>
      <w:tr>
        <w:tblPrEx>
          <w:tblLayout w:type="fixed"/>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99</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其它商品服务支出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2.9</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2.9</w:t>
            </w:r>
          </w:p>
        </w:tc>
      </w:tr>
      <w:tr>
        <w:tblPrEx>
          <w:tblLayout w:type="fixed"/>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09</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奖励金</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0.28</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0.28</w:t>
            </w:r>
          </w:p>
        </w:tc>
      </w:tr>
      <w:tr>
        <w:tblPrEx>
          <w:tblLayout w:type="fixed"/>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99</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color w:val="000000"/>
                <w:kern w:val="0"/>
                <w:sz w:val="20"/>
                <w:szCs w:val="20"/>
              </w:rPr>
              <w:t>对个人和家庭补助支出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2.8</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2.8</w:t>
            </w:r>
          </w:p>
        </w:tc>
      </w:tr>
      <w:tr>
        <w:tblPrEx>
          <w:tblLayout w:type="fixed"/>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400.96</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358.04</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42.92</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4"/>
        <w:tblW w:w="9469" w:type="dxa"/>
        <w:tblInd w:w="93"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昌吉州国资委</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215　</w:t>
            </w:r>
          </w:p>
        </w:tc>
        <w:tc>
          <w:tcPr>
            <w:tcW w:w="397" w:type="dxa"/>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07　</w:t>
            </w:r>
          </w:p>
        </w:tc>
        <w:tc>
          <w:tcPr>
            <w:tcW w:w="397" w:type="dxa"/>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02　</w:t>
            </w:r>
          </w:p>
        </w:tc>
        <w:tc>
          <w:tcPr>
            <w:tcW w:w="851" w:type="dxa"/>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一般行政管理实务</w:t>
            </w:r>
          </w:p>
        </w:tc>
        <w:tc>
          <w:tcPr>
            <w:tcW w:w="1456" w:type="dxa"/>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昌吉州国资系统组织国有企业党支部书记培训</w:t>
            </w:r>
          </w:p>
        </w:tc>
        <w:tc>
          <w:tcPr>
            <w:tcW w:w="750" w:type="dxa"/>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8</w:t>
            </w:r>
          </w:p>
        </w:tc>
        <w:tc>
          <w:tcPr>
            <w:tcW w:w="569" w:type="dxa"/>
            <w:gridSpan w:val="2"/>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36" w:type="dxa"/>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8</w:t>
            </w:r>
          </w:p>
        </w:tc>
        <w:tc>
          <w:tcPr>
            <w:tcW w:w="652"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52"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397"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215　</w:t>
            </w:r>
          </w:p>
        </w:tc>
        <w:tc>
          <w:tcPr>
            <w:tcW w:w="397" w:type="dxa"/>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07　</w:t>
            </w:r>
          </w:p>
        </w:tc>
        <w:tc>
          <w:tcPr>
            <w:tcW w:w="397" w:type="dxa"/>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02　</w:t>
            </w:r>
          </w:p>
        </w:tc>
        <w:tc>
          <w:tcPr>
            <w:tcW w:w="851" w:type="dxa"/>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一般行政管理实务</w:t>
            </w:r>
          </w:p>
        </w:tc>
        <w:tc>
          <w:tcPr>
            <w:tcW w:w="1456" w:type="dxa"/>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对监管企业的年终财务审计费</w:t>
            </w:r>
          </w:p>
        </w:tc>
        <w:tc>
          <w:tcPr>
            <w:tcW w:w="750" w:type="dxa"/>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57</w:t>
            </w:r>
          </w:p>
        </w:tc>
        <w:tc>
          <w:tcPr>
            <w:tcW w:w="569" w:type="dxa"/>
            <w:gridSpan w:val="2"/>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36" w:type="dxa"/>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57</w:t>
            </w:r>
          </w:p>
        </w:tc>
        <w:tc>
          <w:tcPr>
            <w:tcW w:w="652"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52"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397"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215　</w:t>
            </w:r>
          </w:p>
        </w:tc>
        <w:tc>
          <w:tcPr>
            <w:tcW w:w="397" w:type="dxa"/>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07　</w:t>
            </w:r>
          </w:p>
        </w:tc>
        <w:tc>
          <w:tcPr>
            <w:tcW w:w="397" w:type="dxa"/>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02　</w:t>
            </w:r>
          </w:p>
        </w:tc>
        <w:tc>
          <w:tcPr>
            <w:tcW w:w="851" w:type="dxa"/>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一般行政管理实务</w:t>
            </w:r>
          </w:p>
        </w:tc>
        <w:tc>
          <w:tcPr>
            <w:tcW w:w="1456" w:type="dxa"/>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国资系统微信公众号专项资金</w:t>
            </w:r>
          </w:p>
        </w:tc>
        <w:tc>
          <w:tcPr>
            <w:tcW w:w="750" w:type="dxa"/>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3</w:t>
            </w:r>
          </w:p>
        </w:tc>
        <w:tc>
          <w:tcPr>
            <w:tcW w:w="569" w:type="dxa"/>
            <w:gridSpan w:val="2"/>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36" w:type="dxa"/>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3</w:t>
            </w:r>
          </w:p>
        </w:tc>
        <w:tc>
          <w:tcPr>
            <w:tcW w:w="652"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52"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397"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215　</w:t>
            </w:r>
          </w:p>
        </w:tc>
        <w:tc>
          <w:tcPr>
            <w:tcW w:w="397" w:type="dxa"/>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07　</w:t>
            </w:r>
          </w:p>
        </w:tc>
        <w:tc>
          <w:tcPr>
            <w:tcW w:w="397" w:type="dxa"/>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02　</w:t>
            </w:r>
          </w:p>
        </w:tc>
        <w:tc>
          <w:tcPr>
            <w:tcW w:w="851" w:type="dxa"/>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一般行政管理实务</w:t>
            </w:r>
          </w:p>
        </w:tc>
        <w:tc>
          <w:tcPr>
            <w:tcW w:w="1456" w:type="dxa"/>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监事会专项审计费</w:t>
            </w:r>
          </w:p>
        </w:tc>
        <w:tc>
          <w:tcPr>
            <w:tcW w:w="750" w:type="dxa"/>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10</w:t>
            </w:r>
          </w:p>
        </w:tc>
        <w:tc>
          <w:tcPr>
            <w:tcW w:w="569" w:type="dxa"/>
            <w:gridSpan w:val="2"/>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36" w:type="dxa"/>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10</w:t>
            </w:r>
          </w:p>
        </w:tc>
        <w:tc>
          <w:tcPr>
            <w:tcW w:w="652"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52"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397"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215　</w:t>
            </w:r>
          </w:p>
        </w:tc>
        <w:tc>
          <w:tcPr>
            <w:tcW w:w="397" w:type="dxa"/>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07　</w:t>
            </w:r>
          </w:p>
        </w:tc>
        <w:tc>
          <w:tcPr>
            <w:tcW w:w="397" w:type="dxa"/>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02　</w:t>
            </w:r>
          </w:p>
        </w:tc>
        <w:tc>
          <w:tcPr>
            <w:tcW w:w="851" w:type="dxa"/>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一般行政管理实务</w:t>
            </w:r>
          </w:p>
        </w:tc>
        <w:tc>
          <w:tcPr>
            <w:tcW w:w="1456" w:type="dxa"/>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举办2018年国有资产报表及2019年快报培训班</w:t>
            </w:r>
          </w:p>
        </w:tc>
        <w:tc>
          <w:tcPr>
            <w:tcW w:w="750" w:type="dxa"/>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3</w:t>
            </w:r>
          </w:p>
        </w:tc>
        <w:tc>
          <w:tcPr>
            <w:tcW w:w="569" w:type="dxa"/>
            <w:gridSpan w:val="2"/>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36" w:type="dxa"/>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652" w:type="dxa"/>
          </w:tcPr>
          <w:p>
            <w:pPr>
              <w:widowControl/>
              <w:jc w:val="left"/>
              <w:outlineLvl w:val="1"/>
              <w:rPr>
                <w:rFonts w:ascii="仿宋_GB2312" w:hAnsi="宋体" w:eastAsia="仿宋_GB2312"/>
                <w:kern w:val="0"/>
                <w:sz w:val="15"/>
                <w:szCs w:val="15"/>
              </w:rPr>
            </w:pPr>
          </w:p>
        </w:tc>
        <w:tc>
          <w:tcPr>
            <w:tcW w:w="652"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397"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215　</w:t>
            </w:r>
          </w:p>
        </w:tc>
        <w:tc>
          <w:tcPr>
            <w:tcW w:w="397" w:type="dxa"/>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07　</w:t>
            </w:r>
          </w:p>
        </w:tc>
        <w:tc>
          <w:tcPr>
            <w:tcW w:w="397" w:type="dxa"/>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02　</w:t>
            </w:r>
          </w:p>
        </w:tc>
        <w:tc>
          <w:tcPr>
            <w:tcW w:w="851" w:type="dxa"/>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一般行政管理实务</w:t>
            </w:r>
          </w:p>
        </w:tc>
        <w:tc>
          <w:tcPr>
            <w:tcW w:w="1456" w:type="dxa"/>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重大项目投资专家咨询论证费</w:t>
            </w:r>
          </w:p>
        </w:tc>
        <w:tc>
          <w:tcPr>
            <w:tcW w:w="750" w:type="dxa"/>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7</w:t>
            </w:r>
          </w:p>
        </w:tc>
        <w:tc>
          <w:tcPr>
            <w:tcW w:w="569" w:type="dxa"/>
            <w:gridSpan w:val="2"/>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36" w:type="dxa"/>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7</w:t>
            </w:r>
          </w:p>
        </w:tc>
        <w:tc>
          <w:tcPr>
            <w:tcW w:w="652"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52"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397"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215　</w:t>
            </w:r>
          </w:p>
        </w:tc>
        <w:tc>
          <w:tcPr>
            <w:tcW w:w="397" w:type="dxa"/>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07　</w:t>
            </w:r>
          </w:p>
        </w:tc>
        <w:tc>
          <w:tcPr>
            <w:tcW w:w="397" w:type="dxa"/>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02　</w:t>
            </w:r>
          </w:p>
        </w:tc>
        <w:tc>
          <w:tcPr>
            <w:tcW w:w="851" w:type="dxa"/>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一般行政管理实务</w:t>
            </w:r>
          </w:p>
        </w:tc>
        <w:tc>
          <w:tcPr>
            <w:tcW w:w="1456" w:type="dxa"/>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律师咨询费</w:t>
            </w:r>
          </w:p>
        </w:tc>
        <w:tc>
          <w:tcPr>
            <w:tcW w:w="750" w:type="dxa"/>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4</w:t>
            </w:r>
          </w:p>
        </w:tc>
        <w:tc>
          <w:tcPr>
            <w:tcW w:w="569" w:type="dxa"/>
            <w:gridSpan w:val="2"/>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536" w:type="dxa"/>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4</w:t>
            </w:r>
          </w:p>
        </w:tc>
        <w:tc>
          <w:tcPr>
            <w:tcW w:w="652"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52"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397"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rPr>
                <w:rFonts w:ascii="宋体" w:hAnsi="宋体" w:cs="宋体"/>
                <w:color w:val="000000"/>
                <w:kern w:val="0"/>
                <w:sz w:val="20"/>
                <w:szCs w:val="20"/>
              </w:rPr>
            </w:pPr>
          </w:p>
        </w:tc>
        <w:tc>
          <w:tcPr>
            <w:tcW w:w="397" w:type="dxa"/>
          </w:tcPr>
          <w:p>
            <w:pPr>
              <w:widowControl/>
              <w:jc w:val="left"/>
              <w:rPr>
                <w:rFonts w:ascii="宋体" w:hAnsi="宋体" w:cs="宋体"/>
                <w:color w:val="000000"/>
                <w:kern w:val="0"/>
                <w:sz w:val="20"/>
                <w:szCs w:val="20"/>
              </w:rPr>
            </w:pPr>
          </w:p>
        </w:tc>
        <w:tc>
          <w:tcPr>
            <w:tcW w:w="397" w:type="dxa"/>
          </w:tcPr>
          <w:p>
            <w:pPr>
              <w:widowControl/>
              <w:jc w:val="left"/>
              <w:rPr>
                <w:rFonts w:ascii="宋体" w:hAnsi="宋体" w:cs="宋体"/>
                <w:color w:val="000000"/>
                <w:kern w:val="0"/>
                <w:sz w:val="20"/>
                <w:szCs w:val="20"/>
              </w:rPr>
            </w:pPr>
          </w:p>
        </w:tc>
        <w:tc>
          <w:tcPr>
            <w:tcW w:w="851" w:type="dxa"/>
          </w:tcPr>
          <w:p>
            <w:pPr>
              <w:widowControl/>
              <w:jc w:val="left"/>
              <w:rPr>
                <w:rFonts w:ascii="宋体" w:hAnsi="宋体" w:cs="宋体"/>
                <w:color w:val="000000"/>
                <w:kern w:val="0"/>
                <w:sz w:val="20"/>
                <w:szCs w:val="20"/>
              </w:rPr>
            </w:pPr>
          </w:p>
        </w:tc>
        <w:tc>
          <w:tcPr>
            <w:tcW w:w="1456" w:type="dxa"/>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750" w:type="dxa"/>
          </w:tcPr>
          <w:p>
            <w:pPr>
              <w:widowControl/>
              <w:jc w:val="center"/>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69" w:type="dxa"/>
            <w:gridSpan w:val="2"/>
          </w:tcPr>
          <w:p>
            <w:pPr>
              <w:widowControl/>
              <w:jc w:val="center"/>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36" w:type="dxa"/>
          </w:tcPr>
          <w:p>
            <w:pPr>
              <w:widowControl/>
              <w:jc w:val="center"/>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52"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52"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397"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rPr>
                <w:rFonts w:ascii="宋体" w:hAnsi="宋体" w:cs="宋体"/>
                <w:color w:val="000000"/>
                <w:kern w:val="0"/>
                <w:sz w:val="20"/>
                <w:szCs w:val="20"/>
              </w:rPr>
            </w:pPr>
          </w:p>
        </w:tc>
        <w:tc>
          <w:tcPr>
            <w:tcW w:w="397" w:type="dxa"/>
          </w:tcPr>
          <w:p>
            <w:pPr>
              <w:widowControl/>
              <w:jc w:val="left"/>
              <w:rPr>
                <w:rFonts w:ascii="宋体" w:hAnsi="宋体" w:cs="宋体"/>
                <w:color w:val="000000"/>
                <w:kern w:val="0"/>
                <w:sz w:val="20"/>
                <w:szCs w:val="20"/>
              </w:rPr>
            </w:pPr>
          </w:p>
        </w:tc>
        <w:tc>
          <w:tcPr>
            <w:tcW w:w="397" w:type="dxa"/>
          </w:tcPr>
          <w:p>
            <w:pPr>
              <w:widowControl/>
              <w:jc w:val="left"/>
              <w:rPr>
                <w:rFonts w:ascii="宋体" w:hAnsi="宋体" w:cs="宋体"/>
                <w:color w:val="000000"/>
                <w:kern w:val="0"/>
                <w:sz w:val="20"/>
                <w:szCs w:val="20"/>
              </w:rPr>
            </w:pPr>
          </w:p>
        </w:tc>
        <w:tc>
          <w:tcPr>
            <w:tcW w:w="851" w:type="dxa"/>
          </w:tcPr>
          <w:p>
            <w:pPr>
              <w:widowControl/>
              <w:jc w:val="left"/>
              <w:rPr>
                <w:rFonts w:ascii="宋体" w:hAnsi="宋体" w:cs="宋体"/>
                <w:color w:val="000000"/>
                <w:kern w:val="0"/>
                <w:sz w:val="20"/>
                <w:szCs w:val="20"/>
              </w:rPr>
            </w:pPr>
          </w:p>
        </w:tc>
        <w:tc>
          <w:tcPr>
            <w:tcW w:w="1456" w:type="dxa"/>
          </w:tcPr>
          <w:p>
            <w:pPr>
              <w:widowControl/>
              <w:jc w:val="left"/>
              <w:rPr>
                <w:rFonts w:ascii="宋体" w:hAnsi="宋体" w:cs="宋体"/>
                <w:color w:val="000000"/>
                <w:kern w:val="0"/>
                <w:sz w:val="20"/>
                <w:szCs w:val="20"/>
              </w:rPr>
            </w:pPr>
          </w:p>
        </w:tc>
        <w:tc>
          <w:tcPr>
            <w:tcW w:w="750" w:type="dxa"/>
          </w:tcPr>
          <w:p>
            <w:pPr>
              <w:widowControl/>
              <w:jc w:val="center"/>
              <w:outlineLvl w:val="1"/>
              <w:rPr>
                <w:rFonts w:ascii="仿宋_GB2312" w:hAnsi="宋体" w:eastAsia="仿宋_GB2312"/>
                <w:kern w:val="0"/>
                <w:sz w:val="32"/>
                <w:szCs w:val="32"/>
              </w:rPr>
            </w:pPr>
          </w:p>
        </w:tc>
        <w:tc>
          <w:tcPr>
            <w:tcW w:w="569" w:type="dxa"/>
            <w:gridSpan w:val="2"/>
          </w:tcPr>
          <w:p>
            <w:pPr>
              <w:widowControl/>
              <w:jc w:val="center"/>
              <w:outlineLvl w:val="1"/>
              <w:rPr>
                <w:rFonts w:ascii="仿宋_GB2312" w:hAnsi="宋体" w:eastAsia="仿宋_GB2312"/>
                <w:kern w:val="0"/>
                <w:sz w:val="32"/>
                <w:szCs w:val="32"/>
              </w:rPr>
            </w:pPr>
          </w:p>
        </w:tc>
        <w:tc>
          <w:tcPr>
            <w:tcW w:w="536" w:type="dxa"/>
          </w:tcPr>
          <w:p>
            <w:pPr>
              <w:widowControl/>
              <w:jc w:val="center"/>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7"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97" w:type="dxa"/>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97" w:type="dxa"/>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851" w:type="dxa"/>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456" w:type="dxa"/>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合计</w:t>
            </w:r>
          </w:p>
        </w:tc>
        <w:tc>
          <w:tcPr>
            <w:tcW w:w="750" w:type="dxa"/>
            <w:vAlign w:val="center"/>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92</w:t>
            </w:r>
          </w:p>
        </w:tc>
        <w:tc>
          <w:tcPr>
            <w:tcW w:w="569" w:type="dxa"/>
            <w:gridSpan w:val="2"/>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　92</w:t>
            </w:r>
          </w:p>
        </w:tc>
        <w:tc>
          <w:tcPr>
            <w:tcW w:w="652" w:type="dxa"/>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编制单位：昌吉州国资委                                  单位：万元</w:t>
      </w:r>
    </w:p>
    <w:tbl>
      <w:tblPr>
        <w:tblStyle w:val="4"/>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4.94</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4.32</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4.32</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0.62</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编制单位：昌吉州国资委                                    单位：万元</w:t>
      </w:r>
    </w:p>
    <w:tbl>
      <w:tblPr>
        <w:tblStyle w:val="4"/>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r>
              <w:rPr>
                <w:rFonts w:hint="eastAsia" w:ascii="仿宋_GB2312" w:hAnsi="宋体" w:eastAsia="仿宋_GB2312" w:cs="宋体"/>
                <w:b/>
                <w:bCs/>
                <w:color w:val="000000"/>
                <w:kern w:val="0"/>
                <w:sz w:val="28"/>
                <w:szCs w:val="28"/>
              </w:rPr>
              <w:t>无政府性基金预算</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0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0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0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0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0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备注：本单位无政府性基金预算。</w:t>
      </w: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黑体" w:hAnsi="黑体" w:eastAsia="黑体"/>
          <w:kern w:val="0"/>
          <w:sz w:val="32"/>
          <w:szCs w:val="32"/>
        </w:rPr>
      </w:pPr>
      <w:r>
        <w:rPr>
          <w:rFonts w:hint="eastAsia" w:ascii="仿宋_GB2312" w:hAnsi="宋体" w:eastAsia="仿宋_GB2312"/>
          <w:b/>
          <w:kern w:val="0"/>
          <w:sz w:val="28"/>
          <w:szCs w:val="32"/>
        </w:rPr>
        <w:t xml:space="preserve">     </w:t>
      </w:r>
      <w:r>
        <w:rPr>
          <w:rFonts w:hint="eastAsia" w:ascii="黑体" w:hAnsi="黑体" w:eastAsia="黑体"/>
          <w:kern w:val="0"/>
          <w:sz w:val="32"/>
          <w:szCs w:val="32"/>
        </w:rPr>
        <w:t>第三部分  2019年部门预算情况说明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关于州国资委2019年收支预算情况的总体说明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按照全口径预算的原则，州国资委2019年所有收入和支出均纳入部门预算管理。收支总预算492.96万元。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收入预算包括：一般公共预算492.96万元。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支出预算包括：资源勘探信息等支出492.96万元。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二、关于州国资委2019年收入预算情况说明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州国资委收入预算  492.96万元，其中：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 492.96万元，占 100 %，比上年减少了  3.27万元，主要原因是人员减少1人。(退休）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州国资委2019年支出预算492.96万元，其中：</w:t>
      </w:r>
    </w:p>
    <w:p>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  400.96万元，占81.3 %，比上年减少了3.77  万元，主要原因是减少一人（退休）。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 92  万元，占 18.6 %，比上年增加0.5 万元，主要原因是 2019年个别项目的增加。          。</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四、关于州国资委2019年财政拨款收支预算情况的总体说明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2019年财政拨款收支总预算492.96万元。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情况一：收入全部为一般公共预算拨款，无政府性基金预算拨款。</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支出预算包括：一般公共服务支出400.96万元，主要用于人员经费、日常公用经费及开展日常业务工作支出。</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五、关于州国资委2019年一般公共预算当年拨款情况说明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昌吉州国资委2019年一般公共预算拨款基本支出    400.96万元，比上年执行数（减少） 95.27  万元，下降19.1%。主要原因是：今年减少1人。（退休）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1.资源勘探信息等支出（类）</w:t>
      </w:r>
      <w:r>
        <w:rPr>
          <w:rFonts w:hint="eastAsia" w:ascii="楷体_GB2312" w:eastAsia="楷体_GB2312"/>
          <w:b/>
          <w:sz w:val="32"/>
          <w:szCs w:val="32"/>
        </w:rPr>
        <w:t xml:space="preserve">492.96 </w:t>
      </w:r>
      <w:r>
        <w:rPr>
          <w:rFonts w:hint="eastAsia" w:ascii="仿宋_GB2312" w:hAnsi="宋体" w:eastAsia="仿宋_GB2312" w:cs="宋体"/>
          <w:kern w:val="0"/>
          <w:sz w:val="32"/>
          <w:szCs w:val="32"/>
        </w:rPr>
        <w:t>万元，占100 %。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 资源勘探信息等支出（2</w:t>
      </w:r>
      <w:r>
        <w:rPr>
          <w:rFonts w:ascii="仿宋_GB2312" w:hAnsi="宋体" w:eastAsia="仿宋_GB2312" w:cs="宋体"/>
          <w:kern w:val="0"/>
          <w:sz w:val="32"/>
          <w:szCs w:val="32"/>
        </w:rPr>
        <w:t>15</w:t>
      </w:r>
      <w:r>
        <w:rPr>
          <w:rFonts w:hint="eastAsia" w:ascii="仿宋_GB2312" w:hAnsi="宋体" w:eastAsia="仿宋_GB2312" w:cs="宋体"/>
          <w:kern w:val="0"/>
          <w:sz w:val="32"/>
          <w:szCs w:val="32"/>
        </w:rPr>
        <w:t>）国有资产监管</w:t>
      </w:r>
      <w:r>
        <w:rPr>
          <w:rFonts w:ascii="仿宋_GB2312" w:hAnsi="宋体" w:eastAsia="仿宋_GB2312" w:cs="宋体"/>
          <w:kern w:val="0"/>
          <w:sz w:val="32"/>
          <w:szCs w:val="32"/>
        </w:rPr>
        <w:t>（</w:t>
      </w:r>
      <w:r>
        <w:rPr>
          <w:rFonts w:hint="eastAsia" w:ascii="仿宋_GB2312" w:hAnsi="宋体" w:eastAsia="仿宋_GB2312" w:cs="宋体"/>
          <w:kern w:val="0"/>
          <w:sz w:val="32"/>
          <w:szCs w:val="32"/>
        </w:rPr>
        <w:t>0</w:t>
      </w:r>
      <w:r>
        <w:rPr>
          <w:rFonts w:ascii="仿宋_GB2312" w:hAnsi="宋体" w:eastAsia="仿宋_GB2312" w:cs="宋体"/>
          <w:kern w:val="0"/>
          <w:sz w:val="32"/>
          <w:szCs w:val="32"/>
        </w:rPr>
        <w:t>7）行政运行</w:t>
      </w:r>
      <w:r>
        <w:rPr>
          <w:rFonts w:hint="eastAsia" w:ascii="仿宋_GB2312" w:hAnsi="宋体" w:eastAsia="仿宋_GB2312" w:cs="宋体"/>
          <w:kern w:val="0"/>
          <w:sz w:val="32"/>
          <w:szCs w:val="32"/>
        </w:rPr>
        <w:t>（0</w:t>
      </w:r>
      <w:r>
        <w:rPr>
          <w:rFonts w:ascii="仿宋_GB2312" w:hAnsi="宋体" w:eastAsia="仿宋_GB2312" w:cs="宋体"/>
          <w:kern w:val="0"/>
          <w:sz w:val="32"/>
          <w:szCs w:val="32"/>
        </w:rPr>
        <w:t>1</w:t>
      </w:r>
      <w:r>
        <w:rPr>
          <w:rFonts w:hint="eastAsia" w:ascii="仿宋_GB2312" w:hAnsi="宋体" w:eastAsia="仿宋_GB2312" w:cs="宋体"/>
          <w:kern w:val="0"/>
          <w:sz w:val="32"/>
          <w:szCs w:val="32"/>
        </w:rPr>
        <w:t>）</w:t>
      </w:r>
      <w:r>
        <w:rPr>
          <w:rFonts w:ascii="仿宋_GB2312" w:hAnsi="宋体" w:eastAsia="仿宋_GB2312" w:cs="宋体"/>
          <w:kern w:val="0"/>
          <w:sz w:val="32"/>
          <w:szCs w:val="32"/>
        </w:rPr>
        <w:t>预算数为</w:t>
      </w:r>
      <w:r>
        <w:rPr>
          <w:rFonts w:hint="eastAsia" w:ascii="仿宋_GB2312" w:hAnsi="宋体" w:eastAsia="仿宋_GB2312" w:cs="宋体"/>
          <w:kern w:val="0"/>
          <w:sz w:val="32"/>
          <w:szCs w:val="32"/>
        </w:rPr>
        <w:t xml:space="preserve"> 400.96</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比上年执行数（减少）3.77万元，下降 了 0.9%，主要原因是：减少1人。   </w:t>
      </w:r>
    </w:p>
    <w:p>
      <w:pPr>
        <w:spacing w:line="580" w:lineRule="exact"/>
        <w:ind w:firstLine="640"/>
        <w:rPr>
          <w:rFonts w:ascii="仿宋_GB2312" w:hAnsi="宋体" w:eastAsia="仿宋_GB2312" w:cs="宋体"/>
          <w:kern w:val="0"/>
          <w:sz w:val="32"/>
          <w:szCs w:val="32"/>
        </w:rPr>
      </w:pPr>
      <w:r>
        <w:rPr>
          <w:rFonts w:hint="eastAsia" w:ascii="楷体_GB2312" w:hAnsi="宋体" w:eastAsia="楷体_GB2312" w:cs="宋体"/>
          <w:kern w:val="0"/>
          <w:sz w:val="32"/>
          <w:szCs w:val="32"/>
        </w:rPr>
        <w:t>2.</w:t>
      </w:r>
      <w:r>
        <w:rPr>
          <w:rFonts w:hint="eastAsia" w:ascii="仿宋_GB2312" w:eastAsia="仿宋_GB2312"/>
          <w:sz w:val="32"/>
          <w:szCs w:val="32"/>
        </w:rPr>
        <w:t xml:space="preserve"> </w:t>
      </w:r>
      <w:r>
        <w:rPr>
          <w:rFonts w:hint="eastAsia" w:ascii="仿宋_GB2312" w:hAnsi="宋体" w:eastAsia="仿宋_GB2312" w:cs="宋体"/>
          <w:kern w:val="0"/>
          <w:sz w:val="32"/>
          <w:szCs w:val="32"/>
        </w:rPr>
        <w:t>资源勘探信息等支出（2</w:t>
      </w:r>
      <w:r>
        <w:rPr>
          <w:rFonts w:ascii="仿宋_GB2312" w:hAnsi="宋体" w:eastAsia="仿宋_GB2312" w:cs="宋体"/>
          <w:kern w:val="0"/>
          <w:sz w:val="32"/>
          <w:szCs w:val="32"/>
        </w:rPr>
        <w:t>15</w:t>
      </w:r>
      <w:r>
        <w:rPr>
          <w:rFonts w:hint="eastAsia" w:ascii="仿宋_GB2312" w:hAnsi="宋体" w:eastAsia="仿宋_GB2312" w:cs="宋体"/>
          <w:kern w:val="0"/>
          <w:sz w:val="32"/>
          <w:szCs w:val="32"/>
        </w:rPr>
        <w:t>）国有资产监管</w:t>
      </w:r>
      <w:r>
        <w:rPr>
          <w:rFonts w:ascii="仿宋_GB2312" w:hAnsi="宋体" w:eastAsia="仿宋_GB2312" w:cs="宋体"/>
          <w:kern w:val="0"/>
          <w:sz w:val="32"/>
          <w:szCs w:val="32"/>
        </w:rPr>
        <w:t>（</w:t>
      </w:r>
      <w:r>
        <w:rPr>
          <w:rFonts w:hint="eastAsia" w:ascii="仿宋_GB2312" w:hAnsi="宋体" w:eastAsia="仿宋_GB2312" w:cs="宋体"/>
          <w:kern w:val="0"/>
          <w:sz w:val="32"/>
          <w:szCs w:val="32"/>
        </w:rPr>
        <w:t>0</w:t>
      </w:r>
      <w:r>
        <w:rPr>
          <w:rFonts w:ascii="仿宋_GB2312" w:hAnsi="宋体" w:eastAsia="仿宋_GB2312" w:cs="宋体"/>
          <w:kern w:val="0"/>
          <w:sz w:val="32"/>
          <w:szCs w:val="32"/>
        </w:rPr>
        <w:t>7）</w:t>
      </w:r>
      <w:r>
        <w:rPr>
          <w:rFonts w:hint="eastAsia" w:ascii="仿宋_GB2312" w:hAnsi="宋体" w:eastAsia="仿宋_GB2312" w:cs="宋体"/>
          <w:kern w:val="0"/>
          <w:sz w:val="32"/>
          <w:szCs w:val="32"/>
        </w:rPr>
        <w:t>一般行政管理事务（0</w:t>
      </w:r>
      <w:r>
        <w:rPr>
          <w:rFonts w:ascii="仿宋_GB2312" w:hAnsi="宋体" w:eastAsia="仿宋_GB2312" w:cs="宋体"/>
          <w:kern w:val="0"/>
          <w:sz w:val="32"/>
          <w:szCs w:val="32"/>
        </w:rPr>
        <w:t>2</w:t>
      </w:r>
      <w:r>
        <w:rPr>
          <w:rFonts w:hint="eastAsia" w:ascii="仿宋_GB2312" w:hAnsi="宋体" w:eastAsia="仿宋_GB2312" w:cs="宋体"/>
          <w:kern w:val="0"/>
          <w:sz w:val="32"/>
          <w:szCs w:val="32"/>
        </w:rPr>
        <w:t>）项目支出预算数为92万元，比上年增加了0.5万元，增加了0.05%，主要原因是个别项目资金增加。</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六、关于州国资委2019年一般公共预算基本支出情况说明</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昌吉州国资委2019年一般公共预算基本支出 400.96 万元， 其中：人员经费 358.04 万元，主要包括：基本工资123.23万元、津贴补贴35.96万元、奖金8.44万元、伙食补助费32.76万元、基础性绩效工资21.69万元、奖励性绩效工资12.54万元、住房公积金24.22万元、其他工资福利支出22.48万元、机关事业单位基本养老保险缴费40.37万元、公务员医疗补助缴费15.43万元、职工基本医疗保险缴费19.84万元、其他社会保障缴费1.08万元、</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公用经费 42.92 万元，主要包括：办公费4.05万元、印刷费0.25万元、咨询费0.26万元、水费0.47万元、电费1.56万元、邮电费1.76万元、取暖费6.15万元、物业管理费7.15万元、差旅费3.5万元、维修（护）费0.36万元、培训费0.3万元、公务接待费0.62万元、被装购置费0.2万元、劳务费2.5万元、工会经费2.46万元、福利费1.03万元、公务用车运行维护费4.32万元、其它商品服务支出2.9万元、奖励金0.28万元、对个人和家庭补助支出2.8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七、关于州国资委2019年项目支出情况说明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1.项目</w:t>
      </w:r>
      <w:r>
        <w:rPr>
          <w:rFonts w:ascii="仿宋_GB2312" w:hAnsi="黑体" w:eastAsia="仿宋_GB2312"/>
          <w:sz w:val="32"/>
          <w:szCs w:val="32"/>
        </w:rPr>
        <w:t>名称</w:t>
      </w:r>
      <w:r>
        <w:rPr>
          <w:rFonts w:hint="eastAsia" w:ascii="仿宋_GB2312" w:hAnsi="黑体" w:eastAsia="仿宋_GB2312"/>
          <w:sz w:val="32"/>
          <w:szCs w:val="32"/>
        </w:rPr>
        <w:t>：昌吉州国资系统组织国有企业党支部组织书记学习</w:t>
      </w:r>
      <w:r>
        <w:rPr>
          <w:rFonts w:ascii="仿宋_GB2312" w:hAnsi="黑体" w:eastAsia="仿宋_GB2312"/>
          <w:sz w:val="32"/>
          <w:szCs w:val="32"/>
        </w:rPr>
        <w:t>《中国共产党支部工作条例</w:t>
      </w:r>
      <w:r>
        <w:rPr>
          <w:rFonts w:hint="eastAsia" w:ascii="仿宋_GB2312" w:hAnsi="黑体" w:eastAsia="仿宋_GB2312"/>
          <w:sz w:val="32"/>
          <w:szCs w:val="32"/>
        </w:rPr>
        <w:t>（试行）</w:t>
      </w:r>
      <w:r>
        <w:rPr>
          <w:rFonts w:ascii="仿宋_GB2312" w:hAnsi="黑体" w:eastAsia="仿宋_GB2312"/>
          <w:sz w:val="32"/>
          <w:szCs w:val="32"/>
        </w:rPr>
        <w:t>》</w:t>
      </w:r>
      <w:r>
        <w:rPr>
          <w:rFonts w:hint="eastAsia" w:ascii="仿宋_GB2312" w:hAnsi="黑体" w:eastAsia="仿宋_GB2312"/>
          <w:sz w:val="32"/>
          <w:szCs w:val="32"/>
        </w:rPr>
        <w:t>培训班</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 昌州党组[2018]32号文件</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：预算资金8万元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：昌吉州国资委组织宣传科</w:t>
      </w:r>
    </w:p>
    <w:p>
      <w:pPr>
        <w:spacing w:line="700" w:lineRule="exact"/>
        <w:ind w:firstLine="640"/>
        <w:jc w:val="left"/>
        <w:rPr>
          <w:rFonts w:ascii="仿宋_GB2312" w:hAnsi="仿宋_GB2312" w:eastAsia="仿宋_GB2312" w:cs="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仿宋_GB2312" w:eastAsia="仿宋_GB2312" w:cs="仿宋_GB2312"/>
          <w:sz w:val="32"/>
          <w:szCs w:val="32"/>
        </w:rPr>
        <w:t>支付讲师的授课费、教学场地的租用费、租车费用、餐费、购买各类辅导书籍共计8万元。</w:t>
      </w:r>
    </w:p>
    <w:p>
      <w:pPr>
        <w:widowControl/>
        <w:spacing w:line="580" w:lineRule="exact"/>
        <w:ind w:firstLine="640" w:firstLineChars="200"/>
        <w:jc w:val="left"/>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：2019年1月-12月</w:t>
      </w:r>
    </w:p>
    <w:p>
      <w:pPr>
        <w:widowControl/>
        <w:spacing w:line="580" w:lineRule="exact"/>
        <w:ind w:firstLine="640" w:firstLineChars="200"/>
        <w:jc w:val="left"/>
        <w:rPr>
          <w:rFonts w:ascii="仿宋_GB2312" w:hAnsi="黑体" w:eastAsia="仿宋_GB2312"/>
          <w:sz w:val="32"/>
          <w:szCs w:val="32"/>
        </w:rPr>
      </w:pPr>
    </w:p>
    <w:p>
      <w:pPr>
        <w:widowControl/>
        <w:spacing w:line="580" w:lineRule="exact"/>
        <w:ind w:firstLine="640" w:firstLineChars="200"/>
        <w:jc w:val="left"/>
        <w:rPr>
          <w:rFonts w:ascii="仿宋_GB2312" w:hAnsi="黑体" w:eastAsia="仿宋_GB2312"/>
          <w:sz w:val="32"/>
          <w:szCs w:val="32"/>
        </w:rPr>
      </w:pPr>
    </w:p>
    <w:p>
      <w:pPr>
        <w:widowControl/>
        <w:numPr>
          <w:ilvl w:val="0"/>
          <w:numId w:val="1"/>
        </w:numPr>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：对监管企业的年终财务审计费</w:t>
      </w:r>
    </w:p>
    <w:p>
      <w:pPr>
        <w:ind w:firstLine="640" w:firstLineChars="200"/>
        <w:rPr>
          <w:rFonts w:ascii="仿宋_GB2312" w:hAnsi="仿宋_GB2312" w:eastAsia="仿宋_GB2312" w:cs="仿宋_GB2312"/>
          <w:color w:val="2B2B2B"/>
          <w:sz w:val="32"/>
          <w:szCs w:val="32"/>
          <w:shd w:val="clear" w:color="auto" w:fill="FFFFFF"/>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仿宋_GB2312" w:eastAsia="仿宋_GB2312" w:cs="仿宋_GB2312"/>
          <w:color w:val="2B2B2B"/>
          <w:sz w:val="32"/>
          <w:szCs w:val="32"/>
          <w:shd w:val="clear" w:color="auto" w:fill="FFFFFF"/>
        </w:rPr>
        <w:t>根据《昌吉州国资委选聘审计评估中介机构管理办法》规定（昌州国资发[2015]24号）</w:t>
      </w:r>
    </w:p>
    <w:p>
      <w:pPr>
        <w:widowControl/>
        <w:spacing w:line="580" w:lineRule="exact"/>
        <w:jc w:val="left"/>
        <w:rPr>
          <w:rFonts w:ascii="仿宋_GB2312" w:hAnsi="黑体" w:eastAsia="仿宋_GB2312"/>
          <w:sz w:val="32"/>
          <w:szCs w:val="32"/>
        </w:rPr>
      </w:pPr>
      <w:r>
        <w:rPr>
          <w:rFonts w:hint="eastAsia" w:ascii="仿宋_GB2312" w:hAnsi="黑体" w:eastAsia="仿宋_GB2312"/>
          <w:sz w:val="32"/>
          <w:szCs w:val="32"/>
        </w:rPr>
        <w:t xml:space="preserve">   </w:t>
      </w:r>
      <w:r>
        <w:rPr>
          <w:rFonts w:ascii="仿宋_GB2312" w:hAnsi="黑体" w:eastAsia="仿宋_GB2312"/>
          <w:sz w:val="32"/>
          <w:szCs w:val="32"/>
        </w:rPr>
        <w:t>预算安排规模</w:t>
      </w:r>
      <w:r>
        <w:rPr>
          <w:rFonts w:hint="eastAsia" w:ascii="仿宋_GB2312" w:hAnsi="黑体" w:eastAsia="仿宋_GB2312"/>
          <w:sz w:val="32"/>
          <w:szCs w:val="32"/>
        </w:rPr>
        <w:t>：预算资金57万元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：昌吉州国资委</w:t>
      </w:r>
    </w:p>
    <w:p>
      <w:pPr>
        <w:spacing w:line="700" w:lineRule="exact"/>
        <w:ind w:firstLine="640"/>
        <w:jc w:val="left"/>
        <w:rPr>
          <w:rFonts w:ascii="仿宋_GB2312" w:hAnsi="仿宋_GB2312" w:eastAsia="仿宋_GB2312" w:cs="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：年终审计费及人员差费57万元</w:t>
      </w:r>
    </w:p>
    <w:p>
      <w:pPr>
        <w:widowControl/>
        <w:spacing w:line="580" w:lineRule="exact"/>
        <w:ind w:firstLine="640" w:firstLineChars="200"/>
        <w:jc w:val="left"/>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：2019年1月-12月</w:t>
      </w:r>
    </w:p>
    <w:p>
      <w:pPr>
        <w:widowControl/>
        <w:spacing w:line="580" w:lineRule="exact"/>
        <w:ind w:firstLine="640" w:firstLineChars="200"/>
        <w:jc w:val="left"/>
        <w:rPr>
          <w:rFonts w:ascii="仿宋_GB2312" w:hAnsi="黑体" w:eastAsia="仿宋_GB2312"/>
          <w:sz w:val="32"/>
          <w:szCs w:val="32"/>
        </w:rPr>
      </w:pPr>
    </w:p>
    <w:p>
      <w:pPr>
        <w:widowControl/>
        <w:spacing w:line="580" w:lineRule="exact"/>
        <w:ind w:firstLine="640" w:firstLineChars="200"/>
        <w:jc w:val="left"/>
        <w:rPr>
          <w:rFonts w:ascii="仿宋_GB2312" w:hAnsi="黑体" w:eastAsia="仿宋_GB2312"/>
          <w:sz w:val="32"/>
          <w:szCs w:val="32"/>
        </w:rPr>
      </w:pPr>
    </w:p>
    <w:p>
      <w:pPr>
        <w:widowControl/>
        <w:numPr>
          <w:ilvl w:val="0"/>
          <w:numId w:val="1"/>
        </w:numPr>
        <w:tabs>
          <w:tab w:val="left" w:pos="510"/>
        </w:tabs>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：国资系统微信公众号专项资金</w:t>
      </w:r>
    </w:p>
    <w:p>
      <w:pPr>
        <w:ind w:firstLine="640" w:firstLineChars="200"/>
        <w:rPr>
          <w:rFonts w:ascii="仿宋_GB2312" w:hAnsi="仿宋_GB2312" w:eastAsia="仿宋_GB2312" w:cs="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仿宋_GB2312" w:eastAsia="仿宋_GB2312" w:cs="仿宋_GB2312"/>
          <w:sz w:val="32"/>
          <w:szCs w:val="32"/>
        </w:rPr>
        <w:t>昌吉州国资微信公众号委托昌吉州文投公司运营，签订合同。</w:t>
      </w:r>
    </w:p>
    <w:p>
      <w:pPr>
        <w:widowControl/>
        <w:spacing w:line="580" w:lineRule="exact"/>
        <w:jc w:val="left"/>
        <w:rPr>
          <w:rFonts w:ascii="仿宋_GB2312" w:hAnsi="黑体" w:eastAsia="仿宋_GB2312"/>
          <w:sz w:val="32"/>
          <w:szCs w:val="32"/>
        </w:rPr>
      </w:pPr>
      <w:r>
        <w:rPr>
          <w:rFonts w:hint="eastAsia" w:ascii="仿宋_GB2312" w:hAnsi="黑体" w:eastAsia="仿宋_GB2312"/>
          <w:sz w:val="32"/>
          <w:szCs w:val="32"/>
        </w:rPr>
        <w:t xml:space="preserve">    </w:t>
      </w:r>
      <w:r>
        <w:rPr>
          <w:rFonts w:ascii="仿宋_GB2312" w:hAnsi="黑体" w:eastAsia="仿宋_GB2312"/>
          <w:sz w:val="32"/>
          <w:szCs w:val="32"/>
        </w:rPr>
        <w:t>预算安排规模</w:t>
      </w:r>
      <w:r>
        <w:rPr>
          <w:rFonts w:hint="eastAsia" w:ascii="仿宋_GB2312" w:hAnsi="黑体" w:eastAsia="仿宋_GB2312"/>
          <w:sz w:val="32"/>
          <w:szCs w:val="32"/>
        </w:rPr>
        <w:t>：预算资金3万元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：昌吉州国资委组织宣传科</w:t>
      </w:r>
    </w:p>
    <w:p>
      <w:pPr>
        <w:spacing w:line="700" w:lineRule="exact"/>
        <w:ind w:firstLine="640"/>
        <w:jc w:val="left"/>
        <w:rPr>
          <w:rFonts w:ascii="仿宋_GB2312" w:hAnsi="仿宋_GB2312" w:eastAsia="仿宋_GB2312" w:cs="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：微信公众号运行维护费3万</w:t>
      </w:r>
    </w:p>
    <w:p>
      <w:pPr>
        <w:widowControl/>
        <w:spacing w:line="580" w:lineRule="exact"/>
        <w:ind w:firstLine="640" w:firstLineChars="200"/>
        <w:jc w:val="left"/>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：2019年1月-12月</w:t>
      </w:r>
    </w:p>
    <w:p>
      <w:pPr>
        <w:widowControl/>
        <w:spacing w:line="580" w:lineRule="exact"/>
        <w:ind w:firstLine="640" w:firstLineChars="200"/>
        <w:jc w:val="left"/>
        <w:rPr>
          <w:rFonts w:ascii="仿宋_GB2312" w:hAnsi="黑体" w:eastAsia="仿宋_GB2312"/>
          <w:sz w:val="32"/>
          <w:szCs w:val="32"/>
        </w:rPr>
      </w:pPr>
    </w:p>
    <w:p>
      <w:pPr>
        <w:widowControl/>
        <w:numPr>
          <w:ilvl w:val="0"/>
          <w:numId w:val="1"/>
        </w:numPr>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：监事会专项审计费</w:t>
      </w:r>
    </w:p>
    <w:p>
      <w:pPr>
        <w:ind w:firstLine="640" w:firstLineChars="200"/>
        <w:rPr>
          <w:rFonts w:ascii="仿宋_GB2312" w:hAnsi="仿宋_GB2312" w:eastAsia="仿宋_GB2312" w:cs="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仿宋_GB2312" w:eastAsia="仿宋_GB2312" w:cs="仿宋_GB2312"/>
          <w:sz w:val="32"/>
          <w:szCs w:val="32"/>
        </w:rPr>
        <w:t>昌吉州国有企业监事会暂行办法中第十三条规定“</w:t>
      </w:r>
      <w:r>
        <w:rPr>
          <w:rFonts w:hint="eastAsia" w:ascii="仿宋_GB2312" w:hAnsi="仿宋_GB2312" w:eastAsia="仿宋_GB2312" w:cs="仿宋_GB2312"/>
          <w:kern w:val="0"/>
          <w:sz w:val="32"/>
          <w:szCs w:val="32"/>
        </w:rPr>
        <w:t>监事会根据对企业实施监督检查的需要，</w:t>
      </w:r>
      <w:r>
        <w:rPr>
          <w:rFonts w:hint="eastAsia" w:ascii="仿宋_GB2312" w:hAnsi="仿宋_GB2312" w:eastAsia="仿宋_GB2312" w:cs="仿宋_GB2312"/>
          <w:sz w:val="32"/>
          <w:szCs w:val="32"/>
        </w:rPr>
        <w:t>经州国资委同意，</w:t>
      </w:r>
      <w:r>
        <w:rPr>
          <w:rFonts w:hint="eastAsia" w:ascii="仿宋_GB2312" w:hAnsi="仿宋_GB2312" w:eastAsia="仿宋_GB2312" w:cs="仿宋_GB2312"/>
          <w:kern w:val="0"/>
          <w:sz w:val="32"/>
          <w:szCs w:val="32"/>
        </w:rPr>
        <w:t>可以</w:t>
      </w:r>
      <w:r>
        <w:rPr>
          <w:rFonts w:hint="eastAsia" w:ascii="仿宋_GB2312" w:hAnsi="仿宋_GB2312" w:eastAsia="仿宋_GB2312" w:cs="仿宋_GB2312"/>
          <w:sz w:val="32"/>
          <w:szCs w:val="32"/>
        </w:rPr>
        <w:t>聘请会计事务所等中介机构对企业进行专项审计。</w:t>
      </w:r>
    </w:p>
    <w:p>
      <w:pPr>
        <w:widowControl/>
        <w:spacing w:line="580" w:lineRule="exact"/>
        <w:jc w:val="left"/>
        <w:rPr>
          <w:rFonts w:ascii="仿宋_GB2312" w:hAnsi="黑体" w:eastAsia="仿宋_GB2312"/>
          <w:sz w:val="32"/>
          <w:szCs w:val="32"/>
        </w:rPr>
      </w:pPr>
      <w:r>
        <w:rPr>
          <w:rFonts w:hint="eastAsia" w:ascii="仿宋_GB2312" w:hAnsi="黑体" w:eastAsia="仿宋_GB2312"/>
          <w:sz w:val="32"/>
          <w:szCs w:val="32"/>
        </w:rPr>
        <w:t xml:space="preserve">    </w:t>
      </w:r>
      <w:r>
        <w:rPr>
          <w:rFonts w:ascii="仿宋_GB2312" w:hAnsi="黑体" w:eastAsia="仿宋_GB2312"/>
          <w:sz w:val="32"/>
          <w:szCs w:val="32"/>
        </w:rPr>
        <w:t>预算安排规模</w:t>
      </w:r>
      <w:r>
        <w:rPr>
          <w:rFonts w:hint="eastAsia" w:ascii="仿宋_GB2312" w:hAnsi="黑体" w:eastAsia="仿宋_GB2312"/>
          <w:sz w:val="32"/>
          <w:szCs w:val="32"/>
        </w:rPr>
        <w:t>：预算资金10万元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：昌吉州国资委</w:t>
      </w:r>
    </w:p>
    <w:p>
      <w:pPr>
        <w:spacing w:line="700" w:lineRule="exact"/>
        <w:ind w:firstLine="640"/>
        <w:jc w:val="left"/>
        <w:rPr>
          <w:rFonts w:ascii="仿宋_GB2312" w:hAnsi="仿宋_GB2312" w:eastAsia="仿宋_GB2312" w:cs="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仿宋_GB2312" w:eastAsia="仿宋_GB2312" w:cs="仿宋_GB2312"/>
          <w:sz w:val="32"/>
          <w:szCs w:val="32"/>
        </w:rPr>
        <w:t>2019年计划开展1-2次专项检查,用于支付 第三方中介机构专项审计费10万元。</w:t>
      </w:r>
    </w:p>
    <w:p>
      <w:pPr>
        <w:widowControl/>
        <w:spacing w:line="580" w:lineRule="exact"/>
        <w:jc w:val="left"/>
        <w:rPr>
          <w:rFonts w:ascii="仿宋_GB2312" w:hAnsi="黑体" w:eastAsia="仿宋_GB2312"/>
          <w:sz w:val="32"/>
          <w:szCs w:val="32"/>
        </w:rPr>
      </w:pPr>
      <w:r>
        <w:rPr>
          <w:rFonts w:hint="eastAsia" w:ascii="仿宋_GB2312" w:hAnsi="黑体" w:eastAsia="仿宋_GB2312"/>
          <w:sz w:val="32"/>
          <w:szCs w:val="32"/>
        </w:rPr>
        <w:t xml:space="preserve">    </w:t>
      </w:r>
      <w:r>
        <w:rPr>
          <w:rFonts w:ascii="仿宋_GB2312" w:hAnsi="黑体" w:eastAsia="仿宋_GB2312"/>
          <w:sz w:val="32"/>
          <w:szCs w:val="32"/>
        </w:rPr>
        <w:t>资金执行时间</w:t>
      </w:r>
      <w:r>
        <w:rPr>
          <w:rFonts w:hint="eastAsia" w:ascii="仿宋_GB2312" w:hAnsi="黑体" w:eastAsia="仿宋_GB2312"/>
          <w:sz w:val="32"/>
          <w:szCs w:val="32"/>
        </w:rPr>
        <w:t>：2019年1月-12月</w:t>
      </w:r>
    </w:p>
    <w:p>
      <w:pPr>
        <w:widowControl/>
        <w:spacing w:line="580" w:lineRule="exact"/>
        <w:ind w:firstLine="640" w:firstLineChars="200"/>
        <w:jc w:val="left"/>
        <w:rPr>
          <w:rFonts w:ascii="仿宋_GB2312" w:hAnsi="黑体" w:eastAsia="仿宋_GB2312"/>
          <w:sz w:val="32"/>
          <w:szCs w:val="32"/>
        </w:rPr>
      </w:pPr>
    </w:p>
    <w:p>
      <w:pPr>
        <w:widowControl/>
        <w:numPr>
          <w:ilvl w:val="0"/>
          <w:numId w:val="1"/>
        </w:numPr>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：举办2018年国有资产统计报表及2019年财务快报培训班</w:t>
      </w:r>
    </w:p>
    <w:p>
      <w:pPr>
        <w:spacing w:line="560" w:lineRule="exact"/>
        <w:ind w:firstLine="640"/>
        <w:rPr>
          <w:rFonts w:ascii="仿宋" w:hAnsi="仿宋" w:eastAsia="仿宋" w:cs="仿宋"/>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仿宋_GB2312" w:eastAsia="仿宋_GB2312" w:cs="仿宋_GB2312"/>
          <w:sz w:val="32"/>
          <w:szCs w:val="32"/>
        </w:rPr>
        <w:t>《关于建立自治区人民政府向自治区人大常委会报告国有资产管理情况制度的实施意见》</w:t>
      </w:r>
    </w:p>
    <w:p>
      <w:pPr>
        <w:widowControl/>
        <w:spacing w:line="580" w:lineRule="exact"/>
        <w:jc w:val="left"/>
        <w:rPr>
          <w:rFonts w:ascii="仿宋_GB2312" w:hAnsi="黑体" w:eastAsia="仿宋_GB2312"/>
          <w:sz w:val="32"/>
          <w:szCs w:val="32"/>
        </w:rPr>
      </w:pPr>
      <w:r>
        <w:rPr>
          <w:rFonts w:hint="eastAsia" w:ascii="仿宋_GB2312" w:hAnsi="黑体" w:eastAsia="仿宋_GB2312"/>
          <w:sz w:val="32"/>
          <w:szCs w:val="32"/>
        </w:rPr>
        <w:t xml:space="preserve">   </w:t>
      </w:r>
      <w:r>
        <w:rPr>
          <w:rFonts w:ascii="仿宋_GB2312" w:hAnsi="黑体" w:eastAsia="仿宋_GB2312"/>
          <w:sz w:val="32"/>
          <w:szCs w:val="32"/>
        </w:rPr>
        <w:t>预算安排规模</w:t>
      </w:r>
      <w:r>
        <w:rPr>
          <w:rFonts w:hint="eastAsia" w:ascii="仿宋_GB2312" w:hAnsi="黑体" w:eastAsia="仿宋_GB2312"/>
          <w:sz w:val="32"/>
          <w:szCs w:val="32"/>
        </w:rPr>
        <w:t>：预算资金3万元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：昌吉州国资委</w:t>
      </w:r>
    </w:p>
    <w:p>
      <w:pPr>
        <w:spacing w:line="560" w:lineRule="exact"/>
        <w:ind w:firstLine="640"/>
        <w:rPr>
          <w:rFonts w:ascii="仿宋" w:hAnsi="仿宋" w:eastAsia="仿宋" w:cs="仿宋"/>
          <w:sz w:val="32"/>
          <w:szCs w:val="32"/>
        </w:rPr>
      </w:pPr>
      <w:r>
        <w:rPr>
          <w:rFonts w:ascii="仿宋_GB2312" w:hAnsi="黑体" w:eastAsia="仿宋_GB2312"/>
          <w:sz w:val="32"/>
          <w:szCs w:val="32"/>
        </w:rPr>
        <w:t>资金分配情况</w:t>
      </w:r>
      <w:r>
        <w:rPr>
          <w:rFonts w:hint="eastAsia" w:ascii="仿宋_GB2312" w:hAnsi="黑体" w:eastAsia="仿宋_GB2312"/>
          <w:sz w:val="32"/>
          <w:szCs w:val="32"/>
        </w:rPr>
        <w:t>：课</w:t>
      </w:r>
      <w:r>
        <w:rPr>
          <w:rFonts w:hint="eastAsia" w:ascii="仿宋" w:hAnsi="仿宋" w:eastAsia="仿宋" w:cs="仿宋"/>
          <w:sz w:val="32"/>
          <w:szCs w:val="32"/>
        </w:rPr>
        <w:t>时费、场租费、讲师食宿费、资料费总结3万元。</w:t>
      </w:r>
    </w:p>
    <w:p>
      <w:pPr>
        <w:widowControl/>
        <w:spacing w:line="580" w:lineRule="exact"/>
        <w:jc w:val="left"/>
        <w:rPr>
          <w:rFonts w:ascii="仿宋_GB2312" w:hAnsi="黑体" w:eastAsia="仿宋_GB2312"/>
          <w:sz w:val="32"/>
          <w:szCs w:val="32"/>
        </w:rPr>
      </w:pPr>
      <w:r>
        <w:rPr>
          <w:rFonts w:hint="eastAsia" w:ascii="仿宋_GB2312" w:hAnsi="黑体" w:eastAsia="仿宋_GB2312"/>
          <w:sz w:val="32"/>
          <w:szCs w:val="32"/>
        </w:rPr>
        <w:t xml:space="preserve">    </w:t>
      </w:r>
      <w:r>
        <w:rPr>
          <w:rFonts w:ascii="仿宋_GB2312" w:hAnsi="黑体" w:eastAsia="仿宋_GB2312"/>
          <w:sz w:val="32"/>
          <w:szCs w:val="32"/>
        </w:rPr>
        <w:t>资金执行时间</w:t>
      </w:r>
      <w:r>
        <w:rPr>
          <w:rFonts w:hint="eastAsia" w:ascii="仿宋_GB2312" w:hAnsi="黑体" w:eastAsia="仿宋_GB2312"/>
          <w:sz w:val="32"/>
          <w:szCs w:val="32"/>
        </w:rPr>
        <w:t>：2019年1月-12月</w:t>
      </w:r>
    </w:p>
    <w:p>
      <w:pPr>
        <w:widowControl/>
        <w:spacing w:line="580" w:lineRule="exact"/>
        <w:ind w:firstLine="640" w:firstLineChars="200"/>
        <w:jc w:val="left"/>
        <w:rPr>
          <w:rFonts w:ascii="仿宋_GB2312" w:hAnsi="黑体" w:eastAsia="仿宋_GB2312"/>
          <w:sz w:val="32"/>
          <w:szCs w:val="32"/>
        </w:rPr>
      </w:pPr>
    </w:p>
    <w:p>
      <w:pPr>
        <w:widowControl/>
        <w:numPr>
          <w:ilvl w:val="0"/>
          <w:numId w:val="1"/>
        </w:numPr>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：重大项目投资专家咨询论证费</w:t>
      </w:r>
    </w:p>
    <w:p>
      <w:pPr>
        <w:spacing w:line="560" w:lineRule="exact"/>
        <w:ind w:firstLine="640"/>
        <w:rPr>
          <w:rFonts w:ascii="仿宋" w:hAnsi="仿宋" w:eastAsia="仿宋" w:cs="仿宋"/>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仿宋_GB2312" w:eastAsia="仿宋_GB2312" w:cs="仿宋_GB2312"/>
          <w:sz w:val="32"/>
          <w:szCs w:val="32"/>
        </w:rPr>
        <w:t>根据2017年3月31日昌吉州机构编制委员会《关于州国有资产监督管理委员会内设机构调整的批复》</w:t>
      </w:r>
      <w:r>
        <w:rPr>
          <w:rFonts w:hint="eastAsia" w:ascii="仿宋_GB2312" w:hAnsi="仿宋_GB2312" w:eastAsia="仿宋_GB2312" w:cs="仿宋_GB2312"/>
          <w:color w:val="2B2B2B"/>
          <w:sz w:val="32"/>
          <w:szCs w:val="32"/>
          <w:shd w:val="clear" w:color="070000" w:fill="FFFFFF"/>
        </w:rPr>
        <w:t>，</w:t>
      </w:r>
      <w:r>
        <w:rPr>
          <w:rFonts w:hint="eastAsia" w:ascii="仿宋_GB2312" w:hAnsi="仿宋_GB2312" w:eastAsia="仿宋_GB2312" w:cs="仿宋_GB2312"/>
          <w:sz w:val="32"/>
          <w:szCs w:val="32"/>
        </w:rPr>
        <w:t>州国资委改革发展科担负着对所监管企业投资项目进行论证、审批”的职责规定。</w:t>
      </w:r>
    </w:p>
    <w:p>
      <w:pPr>
        <w:widowControl/>
        <w:spacing w:line="580" w:lineRule="exact"/>
        <w:jc w:val="left"/>
        <w:rPr>
          <w:rFonts w:ascii="仿宋_GB2312" w:hAnsi="黑体" w:eastAsia="仿宋_GB2312"/>
          <w:sz w:val="32"/>
          <w:szCs w:val="32"/>
        </w:rPr>
      </w:pPr>
      <w:r>
        <w:rPr>
          <w:rFonts w:hint="eastAsia" w:ascii="仿宋_GB2312" w:hAnsi="黑体" w:eastAsia="仿宋_GB2312"/>
          <w:sz w:val="32"/>
          <w:szCs w:val="32"/>
        </w:rPr>
        <w:t xml:space="preserve">   </w:t>
      </w:r>
      <w:r>
        <w:rPr>
          <w:rFonts w:ascii="仿宋_GB2312" w:hAnsi="黑体" w:eastAsia="仿宋_GB2312"/>
          <w:sz w:val="32"/>
          <w:szCs w:val="32"/>
        </w:rPr>
        <w:t>预算安排规模</w:t>
      </w:r>
      <w:r>
        <w:rPr>
          <w:rFonts w:hint="eastAsia" w:ascii="仿宋_GB2312" w:hAnsi="黑体" w:eastAsia="仿宋_GB2312"/>
          <w:sz w:val="32"/>
          <w:szCs w:val="32"/>
        </w:rPr>
        <w:t>：预算资金7万元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：昌吉州国资委</w:t>
      </w:r>
    </w:p>
    <w:p>
      <w:pPr>
        <w:ind w:firstLine="640" w:firstLineChars="200"/>
        <w:rPr>
          <w:rFonts w:ascii="仿宋_GB2312" w:hAnsi="仿宋_GB2312" w:eastAsia="仿宋_GB2312" w:cs="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仿宋_GB2312" w:eastAsia="仿宋_GB2312" w:cs="仿宋_GB2312"/>
          <w:sz w:val="32"/>
          <w:szCs w:val="32"/>
        </w:rPr>
        <w:t>根据监管企业上报需要审核的重大项目情况，全年共开展4次专家论证，计划每季度开展1次，每次参与论证专家不少于7人，每次需支出专家咨询费17500元(含论证场地费、专家咨询费、往返交通费、论证资料费、食宿费等)，4次共计70000元。</w:t>
      </w:r>
    </w:p>
    <w:p>
      <w:pPr>
        <w:widowControl/>
        <w:spacing w:line="580" w:lineRule="exact"/>
        <w:jc w:val="left"/>
        <w:rPr>
          <w:rFonts w:ascii="仿宋_GB2312" w:hAnsi="黑体" w:eastAsia="仿宋_GB2312"/>
          <w:sz w:val="32"/>
          <w:szCs w:val="32"/>
        </w:rPr>
      </w:pPr>
      <w:r>
        <w:rPr>
          <w:rFonts w:hint="eastAsia" w:ascii="仿宋_GB2312" w:hAnsi="黑体" w:eastAsia="仿宋_GB2312"/>
          <w:sz w:val="32"/>
          <w:szCs w:val="32"/>
        </w:rPr>
        <w:t xml:space="preserve"> </w:t>
      </w:r>
      <w:r>
        <w:rPr>
          <w:rFonts w:ascii="仿宋_GB2312" w:hAnsi="黑体" w:eastAsia="仿宋_GB2312"/>
          <w:sz w:val="32"/>
          <w:szCs w:val="32"/>
        </w:rPr>
        <w:t>资金执行时间</w:t>
      </w:r>
      <w:r>
        <w:rPr>
          <w:rFonts w:hint="eastAsia" w:ascii="仿宋_GB2312" w:hAnsi="黑体" w:eastAsia="仿宋_GB2312"/>
          <w:sz w:val="32"/>
          <w:szCs w:val="32"/>
        </w:rPr>
        <w:t>：2019年1月-12月</w:t>
      </w:r>
    </w:p>
    <w:p>
      <w:pPr>
        <w:widowControl/>
        <w:spacing w:line="580" w:lineRule="exact"/>
        <w:ind w:firstLine="640" w:firstLineChars="200"/>
        <w:jc w:val="left"/>
        <w:rPr>
          <w:rFonts w:ascii="仿宋_GB2312" w:hAnsi="黑体" w:eastAsia="仿宋_GB2312"/>
          <w:sz w:val="32"/>
          <w:szCs w:val="32"/>
        </w:rPr>
      </w:pPr>
    </w:p>
    <w:p>
      <w:pPr>
        <w:widowControl/>
        <w:spacing w:line="580" w:lineRule="exact"/>
        <w:jc w:val="left"/>
        <w:rPr>
          <w:rFonts w:ascii="仿宋_GB2312" w:hAnsi="黑体" w:eastAsia="仿宋_GB2312"/>
          <w:sz w:val="32"/>
          <w:szCs w:val="32"/>
        </w:rPr>
      </w:pPr>
      <w:r>
        <w:rPr>
          <w:rFonts w:hint="eastAsia" w:ascii="仿宋_GB2312" w:hAnsi="黑体" w:eastAsia="仿宋_GB2312"/>
          <w:sz w:val="32"/>
          <w:szCs w:val="32"/>
        </w:rPr>
        <w:t xml:space="preserve">   7.项目</w:t>
      </w:r>
      <w:r>
        <w:rPr>
          <w:rFonts w:ascii="仿宋_GB2312" w:hAnsi="黑体" w:eastAsia="仿宋_GB2312"/>
          <w:sz w:val="32"/>
          <w:szCs w:val="32"/>
        </w:rPr>
        <w:t>名称</w:t>
      </w:r>
      <w:r>
        <w:rPr>
          <w:rFonts w:hint="eastAsia" w:ascii="仿宋_GB2312" w:hAnsi="黑体" w:eastAsia="仿宋_GB2312"/>
          <w:sz w:val="32"/>
          <w:szCs w:val="32"/>
        </w:rPr>
        <w:t>：律师咨询费</w:t>
      </w:r>
    </w:p>
    <w:p>
      <w:pPr>
        <w:spacing w:line="560" w:lineRule="exact"/>
        <w:ind w:firstLine="640"/>
        <w:rPr>
          <w:rFonts w:ascii="仿宋" w:hAnsi="仿宋" w:eastAsia="仿宋" w:cs="仿宋"/>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仿宋_GB2312" w:eastAsia="仿宋_GB2312" w:cs="仿宋_GB2312"/>
          <w:sz w:val="32"/>
          <w:szCs w:val="32"/>
        </w:rPr>
        <w:t>昌吉州机构编制委员会《关于州国有资产监督管理委员会内设机构调整的批复》</w:t>
      </w:r>
    </w:p>
    <w:p>
      <w:pPr>
        <w:widowControl/>
        <w:spacing w:line="580" w:lineRule="exact"/>
        <w:jc w:val="left"/>
        <w:rPr>
          <w:rFonts w:ascii="仿宋_GB2312" w:hAnsi="黑体" w:eastAsia="仿宋_GB2312"/>
          <w:sz w:val="32"/>
          <w:szCs w:val="32"/>
        </w:rPr>
      </w:pPr>
      <w:r>
        <w:rPr>
          <w:rFonts w:hint="eastAsia" w:ascii="仿宋_GB2312" w:hAnsi="黑体" w:eastAsia="仿宋_GB2312"/>
          <w:sz w:val="32"/>
          <w:szCs w:val="32"/>
        </w:rPr>
        <w:t xml:space="preserve">   </w:t>
      </w:r>
      <w:r>
        <w:rPr>
          <w:rFonts w:ascii="仿宋_GB2312" w:hAnsi="黑体" w:eastAsia="仿宋_GB2312"/>
          <w:sz w:val="32"/>
          <w:szCs w:val="32"/>
        </w:rPr>
        <w:t>预算安排规模</w:t>
      </w:r>
      <w:r>
        <w:rPr>
          <w:rFonts w:hint="eastAsia" w:ascii="仿宋_GB2312" w:hAnsi="黑体" w:eastAsia="仿宋_GB2312"/>
          <w:sz w:val="32"/>
          <w:szCs w:val="32"/>
        </w:rPr>
        <w:t>：预算资金4万元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：昌吉州国资委</w:t>
      </w:r>
    </w:p>
    <w:p>
      <w:pPr>
        <w:ind w:firstLine="640" w:firstLineChars="200"/>
        <w:rPr>
          <w:rFonts w:ascii="仿宋_GB2312" w:hAnsi="仿宋_GB2312" w:eastAsia="仿宋_GB2312" w:cs="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仿宋_GB2312" w:eastAsia="仿宋_GB2312" w:cs="仿宋_GB2312"/>
          <w:sz w:val="32"/>
          <w:szCs w:val="32"/>
        </w:rPr>
        <w:t>按照聘请法律顾问合同的约定，州国资委每年9月至次年的9月与律师团队</w:t>
      </w:r>
      <w:r>
        <w:rPr>
          <w:rFonts w:hint="eastAsia" w:ascii="仿宋_GB2312" w:hAnsi="仿宋_GB2312" w:eastAsia="仿宋_GB2312" w:cs="仿宋_GB2312"/>
          <w:sz w:val="32"/>
          <w:szCs w:val="32"/>
          <w:lang w:eastAsia="zh-CN"/>
        </w:rPr>
        <w:t>签订合同</w:t>
      </w:r>
      <w:r>
        <w:rPr>
          <w:rFonts w:hint="eastAsia" w:ascii="仿宋_GB2312" w:hAnsi="仿宋_GB2312" w:eastAsia="仿宋_GB2312" w:cs="仿宋_GB2312"/>
          <w:sz w:val="32"/>
          <w:szCs w:val="32"/>
        </w:rPr>
        <w:t>，并在</w:t>
      </w:r>
      <w:r>
        <w:rPr>
          <w:rFonts w:hint="eastAsia" w:ascii="仿宋_GB2312" w:hAnsi="仿宋_GB2312" w:eastAsia="仿宋_GB2312" w:cs="仿宋_GB2312"/>
          <w:sz w:val="32"/>
          <w:szCs w:val="32"/>
          <w:lang w:eastAsia="zh-CN"/>
        </w:rPr>
        <w:t>签订合同</w:t>
      </w:r>
      <w:r>
        <w:rPr>
          <w:rFonts w:hint="eastAsia" w:ascii="仿宋_GB2312" w:hAnsi="仿宋_GB2312" w:eastAsia="仿宋_GB2312" w:cs="仿宋_GB2312"/>
          <w:sz w:val="32"/>
          <w:szCs w:val="32"/>
        </w:rPr>
        <w:t xml:space="preserve">后7个工作日内支付聘请法律顾问费用40000元整。   </w:t>
      </w:r>
    </w:p>
    <w:p>
      <w:pPr>
        <w:ind w:firstLine="640" w:firstLineChars="200"/>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：2019年1月-12月</w:t>
      </w:r>
    </w:p>
    <w:p>
      <w:pPr>
        <w:ind w:firstLine="640" w:firstLineChars="200"/>
        <w:rPr>
          <w:rFonts w:ascii="仿宋_GB2312" w:hAnsi="黑体" w:eastAsia="仿宋_GB2312"/>
          <w:sz w:val="32"/>
          <w:szCs w:val="32"/>
        </w:rPr>
      </w:pPr>
    </w:p>
    <w:p>
      <w:pPr>
        <w:widowControl/>
        <w:spacing w:line="580" w:lineRule="exact"/>
        <w:jc w:val="left"/>
        <w:rPr>
          <w:rFonts w:ascii="黑体" w:hAnsi="宋体" w:eastAsia="黑体" w:cs="宋体"/>
          <w:kern w:val="0"/>
          <w:sz w:val="32"/>
          <w:szCs w:val="32"/>
        </w:rPr>
      </w:pPr>
      <w:r>
        <w:rPr>
          <w:rFonts w:hint="eastAsia" w:ascii="黑体" w:hAnsi="宋体" w:eastAsia="黑体" w:cs="宋体"/>
          <w:kern w:val="0"/>
          <w:sz w:val="32"/>
          <w:szCs w:val="32"/>
        </w:rPr>
        <w:t>八、关于州国资委2019年一般公共预算“三公”经费预算情况说明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昌吉州国资委2019年“三公”经费财政拨款预算数为4.94 万元，其中：因公出国（境）费  0万元，公务用车购置 0万元，公务用车运行费  4.32万元，公务接待费 0.62 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2019年“三公”经费财政拨款预算比上年减少 0.05万元，其中：因公出国（境）费增加0 万元，主要原因是 公用经费的压缩，厉行节约  ，没有发生费用；公务用车购置费为0万元，未安排预算。主要原因是严格执行中央八项规定和区、州党委十条规定，压减公务用车购置费；公务用车运行费减少0.04万元，主要原因是按照国家财政要求每年递减三公经费  ；公务接待费减少0.01万元，主要原因按照三公经费每年递减的要求，逐年节约递减。</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九、关于昌吉州国资委2019年政府性基金预算拨款情况说明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昌吉州国资委2019年没有使用政府性基金预算拨款安排的支出，政府性基金预算支出情况表为空表。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年，昌吉州国资委的机关运行经费财政拨款预算42.92万元，比上年预算数减少11.19万元，下降23.2</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。主要原因是厉行节约，压缩公用经费开支。</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2019年，州国资委政府采购预算  12.88 万元，其中：政府采购货物预算 12.88 万元，政府采购工程预算   0  万元，政府采购服务预算  0 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2019年度本部门面向中小企业预留政府采购项目预算金额0   万元，其中：面向小微企业预留政府采购项目预算金额 0   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截至2019年底，昌吉州国资委及下属各预算单位占用使用国有资产总体情况为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  0 平方米，价值0 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  1  辆，价值   48.97万元；其中：一般公务用车 1 辆，价值  48.97 万元；执法执勤用车  0 辆，价值 0  万元；其他车辆 0 辆，价值 0  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 18.21  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 61.01万元。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 0 台（套），单位价值100万元以上大型设备 0 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2019年部门预算未安排购置车辆经费（或安排购置车辆经费 0 万元），安排购置50万元以上大型设备 0 台（套），单位价值100万元以上大型设备 0 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  7 个，涉及预算金额92 万元。具体情况见下表（按项目分别填报）：</w:t>
      </w:r>
    </w:p>
    <w:p>
      <w:pPr>
        <w:widowControl/>
        <w:spacing w:line="580" w:lineRule="exact"/>
        <w:jc w:val="left"/>
        <w:rPr>
          <w:rFonts w:ascii="仿宋_GB2312" w:hAnsi="宋体" w:eastAsia="仿宋_GB2312" w:cs="宋体"/>
          <w:kern w:val="0"/>
          <w:sz w:val="32"/>
          <w:szCs w:val="32"/>
        </w:rPr>
      </w:pPr>
    </w:p>
    <w:p>
      <w:pPr>
        <w:widowControl/>
        <w:spacing w:line="580" w:lineRule="exact"/>
        <w:jc w:val="left"/>
        <w:rPr>
          <w:rFonts w:ascii="仿宋_GB2312" w:hAnsi="宋体" w:eastAsia="仿宋_GB2312" w:cs="宋体"/>
          <w:kern w:val="0"/>
          <w:sz w:val="32"/>
          <w:szCs w:val="32"/>
        </w:rPr>
      </w:pPr>
    </w:p>
    <w:p>
      <w:pPr>
        <w:widowControl/>
        <w:spacing w:line="580" w:lineRule="exact"/>
        <w:jc w:val="lef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spacing w:line="500" w:lineRule="exact"/>
        <w:rPr>
          <w:rFonts w:ascii="仿宋_GB2312" w:hAnsi="宋体" w:eastAsia="仿宋_GB2312" w:cs="宋体"/>
          <w:kern w:val="0"/>
          <w:sz w:val="32"/>
          <w:szCs w:val="32"/>
        </w:rPr>
      </w:pPr>
    </w:p>
    <w:tbl>
      <w:tblPr>
        <w:tblStyle w:val="4"/>
        <w:tblW w:w="13973" w:type="dxa"/>
        <w:tblInd w:w="93" w:type="dxa"/>
        <w:tblLayout w:type="fixed"/>
        <w:tblCellMar>
          <w:top w:w="0" w:type="dxa"/>
          <w:left w:w="108" w:type="dxa"/>
          <w:bottom w:w="0" w:type="dxa"/>
          <w:right w:w="108" w:type="dxa"/>
        </w:tblCellMar>
      </w:tblPr>
      <w:tblGrid>
        <w:gridCol w:w="1355"/>
        <w:gridCol w:w="840"/>
        <w:gridCol w:w="590"/>
        <w:gridCol w:w="710"/>
        <w:gridCol w:w="140"/>
        <w:gridCol w:w="417"/>
        <w:gridCol w:w="2063"/>
        <w:gridCol w:w="50"/>
        <w:gridCol w:w="51"/>
        <w:gridCol w:w="949"/>
        <w:gridCol w:w="778"/>
        <w:gridCol w:w="323"/>
        <w:gridCol w:w="1934"/>
        <w:gridCol w:w="1132"/>
        <w:gridCol w:w="2641"/>
      </w:tblGrid>
      <w:tr>
        <w:tblPrEx>
          <w:tblLayout w:type="fixed"/>
          <w:tblCellMar>
            <w:top w:w="0" w:type="dxa"/>
            <w:left w:w="108" w:type="dxa"/>
            <w:bottom w:w="0" w:type="dxa"/>
            <w:right w:w="108" w:type="dxa"/>
          </w:tblCellMar>
        </w:tblPrEx>
        <w:trPr>
          <w:trHeight w:val="345" w:hRule="atLeast"/>
        </w:trPr>
        <w:tc>
          <w:tcPr>
            <w:tcW w:w="13973" w:type="dxa"/>
            <w:gridSpan w:val="15"/>
            <w:tcBorders>
              <w:top w:val="nil"/>
              <w:left w:val="nil"/>
              <w:bottom w:val="nil"/>
              <w:right w:val="nil"/>
            </w:tcBorders>
            <w:vAlign w:val="bottom"/>
          </w:tcPr>
          <w:p>
            <w:pPr>
              <w:widowControl/>
              <w:jc w:val="center"/>
              <w:rPr>
                <w:rFonts w:ascii="宋体" w:hAnsi="宋体" w:cs="宋体"/>
                <w:b/>
                <w:bCs/>
                <w:kern w:val="0"/>
                <w:sz w:val="18"/>
                <w:szCs w:val="18"/>
              </w:rPr>
            </w:pPr>
            <w:r>
              <w:rPr>
                <w:rFonts w:hint="eastAsia" w:ascii="仿宋_GB2312" w:hAnsi="宋体" w:eastAsia="仿宋_GB2312"/>
                <w:b/>
                <w:kern w:val="0"/>
                <w:sz w:val="18"/>
                <w:szCs w:val="18"/>
              </w:rPr>
              <w:t>项  目  支  出  绩  效  目  标  表</w:t>
            </w:r>
          </w:p>
        </w:tc>
      </w:tr>
      <w:tr>
        <w:tblPrEx>
          <w:tblLayout w:type="fixed"/>
          <w:tblCellMar>
            <w:top w:w="0" w:type="dxa"/>
            <w:left w:w="108" w:type="dxa"/>
            <w:bottom w:w="0" w:type="dxa"/>
            <w:right w:w="108" w:type="dxa"/>
          </w:tblCellMar>
        </w:tblPrEx>
        <w:trPr>
          <w:trHeight w:val="423" w:hRule="atLeast"/>
        </w:trPr>
        <w:tc>
          <w:tcPr>
            <w:tcW w:w="135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6588" w:type="dxa"/>
            <w:gridSpan w:val="10"/>
            <w:tcBorders>
              <w:top w:val="single" w:color="auto" w:sz="4" w:space="0"/>
              <w:left w:val="nil"/>
              <w:bottom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昌吉州国资委</w:t>
            </w:r>
          </w:p>
        </w:tc>
        <w:tc>
          <w:tcPr>
            <w:tcW w:w="32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5707" w:type="dxa"/>
            <w:gridSpan w:val="3"/>
            <w:tcBorders>
              <w:top w:val="single" w:color="auto" w:sz="4" w:space="0"/>
              <w:left w:val="nil"/>
              <w:bottom w:val="single" w:color="auto" w:sz="4" w:space="0"/>
              <w:right w:val="single" w:color="auto" w:sz="4" w:space="0"/>
            </w:tcBorders>
            <w:vAlign w:val="center"/>
          </w:tcPr>
          <w:p>
            <w:pPr>
              <w:autoSpaceDN w:val="0"/>
              <w:jc w:val="center"/>
              <w:textAlignment w:val="center"/>
              <w:rPr>
                <w:rFonts w:ascii="宋体" w:hAnsi="宋体" w:cs="宋体"/>
                <w:kern w:val="0"/>
                <w:sz w:val="18"/>
                <w:szCs w:val="18"/>
              </w:rPr>
            </w:pPr>
            <w:r>
              <w:rPr>
                <w:rFonts w:ascii="宋体" w:hAnsi="宋体"/>
                <w:color w:val="000000"/>
                <w:sz w:val="18"/>
                <w:szCs w:val="18"/>
              </w:rPr>
              <w:t>监事会专项审计费</w:t>
            </w:r>
          </w:p>
        </w:tc>
      </w:tr>
      <w:tr>
        <w:tblPrEx>
          <w:tblLayout w:type="fixed"/>
          <w:tblCellMar>
            <w:top w:w="0" w:type="dxa"/>
            <w:left w:w="108" w:type="dxa"/>
            <w:bottom w:w="0" w:type="dxa"/>
            <w:right w:w="108" w:type="dxa"/>
          </w:tblCellMar>
        </w:tblPrEx>
        <w:trPr>
          <w:trHeight w:val="451" w:hRule="atLeast"/>
        </w:trPr>
        <w:tc>
          <w:tcPr>
            <w:tcW w:w="135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214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721" w:type="dxa"/>
            <w:gridSpan w:val="5"/>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10</w:t>
            </w:r>
          </w:p>
        </w:tc>
        <w:tc>
          <w:tcPr>
            <w:tcW w:w="1727"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323"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10</w:t>
            </w:r>
          </w:p>
        </w:tc>
        <w:tc>
          <w:tcPr>
            <w:tcW w:w="3066"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60" w:hRule="atLeast"/>
        </w:trPr>
        <w:tc>
          <w:tcPr>
            <w:tcW w:w="135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2618" w:type="dxa"/>
            <w:gridSpan w:val="14"/>
            <w:tcBorders>
              <w:top w:val="nil"/>
              <w:left w:val="nil"/>
              <w:bottom w:val="single" w:color="000000" w:sz="4" w:space="0"/>
              <w:right w:val="single" w:color="000000" w:sz="4" w:space="0"/>
            </w:tcBorders>
          </w:tcPr>
          <w:p>
            <w:pPr>
              <w:autoSpaceDN w:val="0"/>
              <w:jc w:val="left"/>
              <w:textAlignment w:val="top"/>
              <w:rPr>
                <w:rFonts w:ascii="宋体" w:hAnsi="宋体" w:cs="宋体"/>
                <w:kern w:val="0"/>
                <w:sz w:val="18"/>
                <w:szCs w:val="18"/>
              </w:rPr>
            </w:pPr>
            <w:r>
              <w:rPr>
                <w:rFonts w:ascii="宋体" w:hAnsi="宋体"/>
                <w:color w:val="000000"/>
                <w:sz w:val="18"/>
                <w:szCs w:val="18"/>
              </w:rPr>
              <w:br w:type="textWrapping"/>
            </w:r>
            <w:r>
              <w:rPr>
                <w:rFonts w:ascii="宋体" w:hAnsi="宋体"/>
                <w:color w:val="000000"/>
                <w:sz w:val="18"/>
                <w:szCs w:val="18"/>
              </w:rPr>
              <w:t>预期目标及阶段性目标：通过监督检查，防范国有资产流失。项目的基本性质：监督检查。用途和主要内容：通过对国有企业专项监督检查，加大对企业内部控制的管理，强化风险控制，实现国有资产保值增值。涉及范围：州直各监管企业。</w:t>
            </w:r>
          </w:p>
        </w:tc>
      </w:tr>
      <w:tr>
        <w:tblPrEx>
          <w:tblLayout w:type="fixed"/>
          <w:tblCellMar>
            <w:top w:w="0" w:type="dxa"/>
            <w:left w:w="108" w:type="dxa"/>
            <w:bottom w:w="0" w:type="dxa"/>
            <w:right w:w="108" w:type="dxa"/>
          </w:tblCellMar>
        </w:tblPrEx>
        <w:trPr>
          <w:trHeight w:val="261" w:hRule="atLeast"/>
        </w:trPr>
        <w:tc>
          <w:tcPr>
            <w:tcW w:w="135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430" w:type="dxa"/>
            <w:gridSpan w:val="2"/>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3330"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7858" w:type="dxa"/>
            <w:gridSpan w:val="8"/>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135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430" w:type="dxa"/>
            <w:gridSpan w:val="2"/>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3330"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7858" w:type="dxa"/>
            <w:gridSpan w:val="8"/>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101" w:hRule="atLeast"/>
        </w:trPr>
        <w:tc>
          <w:tcPr>
            <w:tcW w:w="135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430"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330"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7858" w:type="dxa"/>
            <w:gridSpan w:val="8"/>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135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430" w:type="dxa"/>
            <w:gridSpan w:val="2"/>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3330"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预计完成时间2019年12月底</w:t>
            </w:r>
          </w:p>
        </w:tc>
        <w:tc>
          <w:tcPr>
            <w:tcW w:w="7858" w:type="dxa"/>
            <w:gridSpan w:val="8"/>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年底完成专项审计工作　</w:t>
            </w:r>
          </w:p>
        </w:tc>
      </w:tr>
      <w:tr>
        <w:tblPrEx>
          <w:tblLayout w:type="fixed"/>
          <w:tblCellMar>
            <w:top w:w="0" w:type="dxa"/>
            <w:left w:w="108" w:type="dxa"/>
            <w:bottom w:w="0" w:type="dxa"/>
            <w:right w:w="108" w:type="dxa"/>
          </w:tblCellMar>
        </w:tblPrEx>
        <w:trPr>
          <w:trHeight w:val="90" w:hRule="atLeast"/>
        </w:trPr>
        <w:tc>
          <w:tcPr>
            <w:tcW w:w="135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430"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330"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7858" w:type="dxa"/>
            <w:gridSpan w:val="8"/>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135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430" w:type="dxa"/>
            <w:gridSpan w:val="2"/>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3330"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每年监督检查次数为4次</w:t>
            </w:r>
          </w:p>
        </w:tc>
        <w:tc>
          <w:tcPr>
            <w:tcW w:w="7858" w:type="dxa"/>
            <w:gridSpan w:val="8"/>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每年对国资委直管企业组织监督检查4次</w:t>
            </w:r>
          </w:p>
        </w:tc>
      </w:tr>
      <w:tr>
        <w:tblPrEx>
          <w:tblLayout w:type="fixed"/>
          <w:tblCellMar>
            <w:top w:w="0" w:type="dxa"/>
            <w:left w:w="108" w:type="dxa"/>
            <w:bottom w:w="0" w:type="dxa"/>
            <w:right w:w="108" w:type="dxa"/>
          </w:tblCellMar>
        </w:tblPrEx>
        <w:trPr>
          <w:trHeight w:val="271" w:hRule="atLeast"/>
        </w:trPr>
        <w:tc>
          <w:tcPr>
            <w:tcW w:w="135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430"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330"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18"/>
                <w:szCs w:val="18"/>
              </w:rPr>
            </w:pPr>
            <w:r>
              <w:rPr>
                <w:rFonts w:ascii="宋体" w:hAnsi="宋体"/>
                <w:color w:val="000000"/>
                <w:sz w:val="18"/>
                <w:szCs w:val="18"/>
              </w:rPr>
              <w:t>监督检查天数15天</w:t>
            </w:r>
          </w:p>
        </w:tc>
        <w:tc>
          <w:tcPr>
            <w:tcW w:w="7858" w:type="dxa"/>
            <w:gridSpan w:val="8"/>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18"/>
                <w:szCs w:val="18"/>
              </w:rPr>
            </w:pPr>
            <w:r>
              <w:rPr>
                <w:rFonts w:ascii="宋体" w:hAnsi="宋体"/>
                <w:color w:val="000000"/>
                <w:sz w:val="18"/>
                <w:szCs w:val="18"/>
              </w:rPr>
              <w:t>参与监督检查工作人数10人，检查天数为15天</w:t>
            </w:r>
          </w:p>
        </w:tc>
      </w:tr>
      <w:tr>
        <w:tblPrEx>
          <w:tblLayout w:type="fixed"/>
          <w:tblCellMar>
            <w:top w:w="0" w:type="dxa"/>
            <w:left w:w="108" w:type="dxa"/>
            <w:bottom w:w="0" w:type="dxa"/>
            <w:right w:w="108" w:type="dxa"/>
          </w:tblCellMar>
        </w:tblPrEx>
        <w:trPr>
          <w:trHeight w:val="271" w:hRule="atLeast"/>
        </w:trPr>
        <w:tc>
          <w:tcPr>
            <w:tcW w:w="135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430"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330"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18"/>
                <w:szCs w:val="18"/>
              </w:rPr>
            </w:pPr>
            <w:r>
              <w:rPr>
                <w:rFonts w:ascii="宋体" w:hAnsi="宋体"/>
                <w:color w:val="000000"/>
                <w:sz w:val="18"/>
                <w:szCs w:val="18"/>
              </w:rPr>
              <w:t>接受监督检查业务培训人数10人</w:t>
            </w:r>
          </w:p>
        </w:tc>
        <w:tc>
          <w:tcPr>
            <w:tcW w:w="7858" w:type="dxa"/>
            <w:gridSpan w:val="8"/>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18"/>
                <w:szCs w:val="18"/>
              </w:rPr>
            </w:pPr>
            <w:r>
              <w:rPr>
                <w:rFonts w:ascii="宋体" w:hAnsi="宋体"/>
                <w:color w:val="000000"/>
                <w:sz w:val="18"/>
                <w:szCs w:val="18"/>
              </w:rPr>
              <w:t>为了提高专业检查监督业务水平，每年对监督检查人员进行业务培训。</w:t>
            </w:r>
          </w:p>
        </w:tc>
      </w:tr>
      <w:tr>
        <w:tblPrEx>
          <w:tblLayout w:type="fixed"/>
          <w:tblCellMar>
            <w:top w:w="0" w:type="dxa"/>
            <w:left w:w="108" w:type="dxa"/>
            <w:bottom w:w="0" w:type="dxa"/>
            <w:right w:w="108" w:type="dxa"/>
          </w:tblCellMar>
        </w:tblPrEx>
        <w:trPr>
          <w:trHeight w:val="271" w:hRule="atLeast"/>
        </w:trPr>
        <w:tc>
          <w:tcPr>
            <w:tcW w:w="135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430"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330"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18"/>
                <w:szCs w:val="18"/>
              </w:rPr>
            </w:pPr>
            <w:r>
              <w:rPr>
                <w:rFonts w:ascii="宋体" w:hAnsi="宋体"/>
                <w:color w:val="000000"/>
                <w:sz w:val="18"/>
                <w:szCs w:val="18"/>
              </w:rPr>
              <w:t>形成检查工作报告4份</w:t>
            </w:r>
          </w:p>
        </w:tc>
        <w:tc>
          <w:tcPr>
            <w:tcW w:w="7858" w:type="dxa"/>
            <w:gridSpan w:val="8"/>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18"/>
                <w:szCs w:val="18"/>
              </w:rPr>
            </w:pPr>
            <w:r>
              <w:rPr>
                <w:rFonts w:ascii="宋体" w:hAnsi="宋体"/>
                <w:color w:val="000000"/>
                <w:sz w:val="18"/>
                <w:szCs w:val="18"/>
              </w:rPr>
              <w:t>监督检查工作结束后及时形成工作报告和总结报告总计8份</w:t>
            </w:r>
          </w:p>
        </w:tc>
      </w:tr>
      <w:tr>
        <w:tblPrEx>
          <w:tblLayout w:type="fixed"/>
          <w:tblCellMar>
            <w:top w:w="0" w:type="dxa"/>
            <w:left w:w="108" w:type="dxa"/>
            <w:bottom w:w="0" w:type="dxa"/>
            <w:right w:w="108" w:type="dxa"/>
          </w:tblCellMar>
        </w:tblPrEx>
        <w:trPr>
          <w:trHeight w:val="271" w:hRule="atLeast"/>
        </w:trPr>
        <w:tc>
          <w:tcPr>
            <w:tcW w:w="135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430"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7415" w:type="dxa"/>
            <w:gridSpan w:val="10"/>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18"/>
                <w:szCs w:val="18"/>
              </w:rPr>
            </w:pPr>
            <w:r>
              <w:rPr>
                <w:rFonts w:ascii="宋体" w:hAnsi="宋体"/>
                <w:color w:val="000000"/>
                <w:sz w:val="18"/>
                <w:szCs w:val="18"/>
              </w:rPr>
              <w:t>形成监督整改建议书4份</w:t>
            </w: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18"/>
                <w:szCs w:val="18"/>
              </w:rPr>
            </w:pPr>
            <w:r>
              <w:rPr>
                <w:rFonts w:ascii="宋体" w:hAnsi="宋体"/>
                <w:color w:val="000000"/>
                <w:sz w:val="18"/>
                <w:szCs w:val="18"/>
              </w:rPr>
              <w:t>监督检查及时对问题形成监督整改建议书4份，限期整改。</w:t>
            </w:r>
          </w:p>
        </w:tc>
      </w:tr>
      <w:tr>
        <w:tblPrEx>
          <w:tblLayout w:type="fixed"/>
          <w:tblCellMar>
            <w:top w:w="0" w:type="dxa"/>
            <w:left w:w="108" w:type="dxa"/>
            <w:bottom w:w="0" w:type="dxa"/>
            <w:right w:w="108" w:type="dxa"/>
          </w:tblCellMar>
        </w:tblPrEx>
        <w:trPr>
          <w:trHeight w:val="271" w:hRule="atLeast"/>
        </w:trPr>
        <w:tc>
          <w:tcPr>
            <w:tcW w:w="2195" w:type="dxa"/>
            <w:gridSpan w:val="2"/>
            <w:vMerge w:val="restart"/>
            <w:tcBorders>
              <w:top w:val="nil"/>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gridSpan w:val="4"/>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113"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每年审计单位数4家</w:t>
            </w:r>
          </w:p>
        </w:tc>
        <w:tc>
          <w:tcPr>
            <w:tcW w:w="6808" w:type="dxa"/>
            <w:gridSpan w:val="5"/>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开展预算执行审计、金融机构审计总计4家</w:t>
            </w:r>
          </w:p>
        </w:tc>
      </w:tr>
      <w:tr>
        <w:tblPrEx>
          <w:tblLayout w:type="fixed"/>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440" w:type="dxa"/>
            <w:gridSpan w:val="3"/>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2530" w:type="dxa"/>
            <w:gridSpan w:val="3"/>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监督检查覆盖率100%</w:t>
            </w:r>
          </w:p>
        </w:tc>
        <w:tc>
          <w:tcPr>
            <w:tcW w:w="7808" w:type="dxa"/>
            <w:gridSpan w:val="7"/>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每年对4家企业进行监督检查，数量占应监管对象总数的比率100%</w:t>
            </w:r>
          </w:p>
        </w:tc>
      </w:tr>
      <w:tr>
        <w:tblPrEx>
          <w:tblLayout w:type="fixed"/>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440"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530" w:type="dxa"/>
            <w:gridSpan w:val="3"/>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问题整改率100%</w:t>
            </w:r>
          </w:p>
        </w:tc>
        <w:tc>
          <w:tcPr>
            <w:tcW w:w="7808" w:type="dxa"/>
            <w:gridSpan w:val="7"/>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对发现的问题限期整改，整改率100%</w:t>
            </w:r>
          </w:p>
        </w:tc>
      </w:tr>
      <w:tr>
        <w:tblPrEx>
          <w:tblLayout w:type="fixed"/>
          <w:tblCellMar>
            <w:top w:w="0" w:type="dxa"/>
            <w:left w:w="108" w:type="dxa"/>
            <w:bottom w:w="0" w:type="dxa"/>
            <w:right w:w="108" w:type="dxa"/>
          </w:tblCellMar>
        </w:tblPrEx>
        <w:trPr>
          <w:trHeight w:val="462" w:hRule="atLeast"/>
        </w:trPr>
        <w:tc>
          <w:tcPr>
            <w:tcW w:w="2195" w:type="dxa"/>
            <w:gridSpan w:val="2"/>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440" w:type="dxa"/>
            <w:gridSpan w:val="3"/>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2530" w:type="dxa"/>
            <w:gridSpan w:val="3"/>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挽回经济损失100万余元</w:t>
            </w:r>
          </w:p>
        </w:tc>
        <w:tc>
          <w:tcPr>
            <w:tcW w:w="7808" w:type="dxa"/>
            <w:gridSpan w:val="7"/>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每年通过监督检查挽回国有资产经济损失100万余元</w:t>
            </w:r>
          </w:p>
        </w:tc>
      </w:tr>
      <w:tr>
        <w:tblPrEx>
          <w:tblLayout w:type="fixed"/>
          <w:tblCellMar>
            <w:top w:w="0" w:type="dxa"/>
            <w:left w:w="108" w:type="dxa"/>
            <w:bottom w:w="0" w:type="dxa"/>
            <w:right w:w="108" w:type="dxa"/>
          </w:tblCellMar>
        </w:tblPrEx>
        <w:trPr>
          <w:trHeight w:val="283"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440"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530" w:type="dxa"/>
            <w:gridSpan w:val="3"/>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挽回经济损失100万余元</w:t>
            </w:r>
          </w:p>
        </w:tc>
        <w:tc>
          <w:tcPr>
            <w:tcW w:w="7808" w:type="dxa"/>
            <w:gridSpan w:val="7"/>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每年通过监督检查挽回国有资产经济损失100万余元</w:t>
            </w:r>
          </w:p>
        </w:tc>
      </w:tr>
      <w:tr>
        <w:tblPrEx>
          <w:tblLayout w:type="fixed"/>
          <w:tblCellMar>
            <w:top w:w="0" w:type="dxa"/>
            <w:left w:w="108" w:type="dxa"/>
            <w:bottom w:w="0" w:type="dxa"/>
            <w:right w:w="108" w:type="dxa"/>
          </w:tblCellMar>
        </w:tblPrEx>
        <w:trPr>
          <w:trHeight w:val="283"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440" w:type="dxa"/>
            <w:gridSpan w:val="3"/>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2530" w:type="dxa"/>
            <w:gridSpan w:val="3"/>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780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440"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530" w:type="dxa"/>
            <w:gridSpan w:val="3"/>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780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440" w:type="dxa"/>
            <w:gridSpan w:val="3"/>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2530" w:type="dxa"/>
            <w:gridSpan w:val="3"/>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780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90"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440"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530" w:type="dxa"/>
            <w:gridSpan w:val="3"/>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780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440" w:type="dxa"/>
            <w:gridSpan w:val="3"/>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2530" w:type="dxa"/>
            <w:gridSpan w:val="3"/>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780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90"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440"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530" w:type="dxa"/>
            <w:gridSpan w:val="3"/>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780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91" w:hRule="atLeast"/>
        </w:trPr>
        <w:tc>
          <w:tcPr>
            <w:tcW w:w="2195" w:type="dxa"/>
            <w:gridSpan w:val="2"/>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440" w:type="dxa"/>
            <w:gridSpan w:val="3"/>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2530" w:type="dxa"/>
            <w:gridSpan w:val="3"/>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满意度100%</w:t>
            </w:r>
          </w:p>
        </w:tc>
        <w:tc>
          <w:tcPr>
            <w:tcW w:w="780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对提出建议满意度100%　</w:t>
            </w:r>
          </w:p>
        </w:tc>
      </w:tr>
    </w:tbl>
    <w:p>
      <w:pPr>
        <w:widowControl/>
        <w:spacing w:line="560" w:lineRule="exact"/>
        <w:ind w:firstLine="411" w:firstLineChars="196"/>
        <w:jc w:val="left"/>
        <w:sectPr>
          <w:pgSz w:w="16838" w:h="11906" w:orient="landscape"/>
          <w:pgMar w:top="850" w:right="2098" w:bottom="850" w:left="1928" w:header="851" w:footer="992" w:gutter="0"/>
          <w:pgNumType w:fmt="numberInDash"/>
          <w:cols w:space="720" w:num="1"/>
          <w:docGrid w:linePitch="312" w:charSpace="0"/>
        </w:sectPr>
      </w:pPr>
    </w:p>
    <w:tbl>
      <w:tblPr>
        <w:tblStyle w:val="4"/>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455"/>
        <w:gridCol w:w="470"/>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4"/>
            <w:tcBorders>
              <w:top w:val="nil"/>
              <w:left w:val="nil"/>
              <w:bottom w:val="nil"/>
              <w:right w:val="nil"/>
            </w:tcBorders>
            <w:vAlign w:val="bottom"/>
          </w:tcPr>
          <w:p>
            <w:pPr>
              <w:widowControl/>
              <w:jc w:val="center"/>
              <w:outlineLvl w:val="1"/>
              <w:rPr>
                <w:rFonts w:ascii="仿宋_GB2312" w:hAnsi="仿宋_GB2312" w:eastAsia="仿宋_GB2312" w:cs="仿宋_GB2312"/>
                <w:b/>
                <w:bCs/>
                <w:kern w:val="0"/>
                <w:sz w:val="18"/>
                <w:szCs w:val="18"/>
              </w:rPr>
            </w:pPr>
            <w:r>
              <w:rPr>
                <w:rFonts w:hint="eastAsia" w:ascii="仿宋_GB2312" w:hAnsi="仿宋_GB2312" w:eastAsia="仿宋_GB2312" w:cs="仿宋_GB2312"/>
                <w:b/>
                <w:kern w:val="0"/>
                <w:sz w:val="18"/>
                <w:szCs w:val="18"/>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仿宋_GB2312" w:hAnsi="仿宋_GB2312" w:eastAsia="仿宋_GB2312" w:cs="仿宋_GB2312"/>
                <w:color w:val="000000"/>
                <w:kern w:val="0"/>
                <w:sz w:val="18"/>
                <w:szCs w:val="18"/>
              </w:rPr>
            </w:pPr>
          </w:p>
        </w:tc>
        <w:tc>
          <w:tcPr>
            <w:tcW w:w="1857" w:type="dxa"/>
            <w:tcBorders>
              <w:top w:val="nil"/>
              <w:left w:val="nil"/>
              <w:bottom w:val="nil"/>
              <w:right w:val="nil"/>
            </w:tcBorders>
            <w:vAlign w:val="bottom"/>
          </w:tcPr>
          <w:p>
            <w:pPr>
              <w:widowControl/>
              <w:jc w:val="left"/>
              <w:rPr>
                <w:rFonts w:ascii="仿宋_GB2312" w:hAnsi="仿宋_GB2312" w:eastAsia="仿宋_GB2312" w:cs="仿宋_GB2312"/>
                <w:color w:val="000000"/>
                <w:kern w:val="0"/>
                <w:sz w:val="18"/>
                <w:szCs w:val="18"/>
              </w:rPr>
            </w:pPr>
          </w:p>
        </w:tc>
        <w:tc>
          <w:tcPr>
            <w:tcW w:w="1664" w:type="dxa"/>
            <w:tcBorders>
              <w:top w:val="nil"/>
              <w:left w:val="nil"/>
              <w:bottom w:val="nil"/>
              <w:right w:val="nil"/>
            </w:tcBorders>
            <w:vAlign w:val="bottom"/>
          </w:tcPr>
          <w:p>
            <w:pPr>
              <w:widowControl/>
              <w:jc w:val="left"/>
              <w:rPr>
                <w:rFonts w:ascii="仿宋_GB2312" w:hAnsi="仿宋_GB2312" w:eastAsia="仿宋_GB2312" w:cs="仿宋_GB2312"/>
                <w:color w:val="000000"/>
                <w:kern w:val="0"/>
                <w:sz w:val="18"/>
                <w:szCs w:val="18"/>
              </w:rPr>
            </w:pPr>
          </w:p>
        </w:tc>
        <w:tc>
          <w:tcPr>
            <w:tcW w:w="1664" w:type="dxa"/>
            <w:gridSpan w:val="2"/>
            <w:tcBorders>
              <w:top w:val="nil"/>
              <w:left w:val="nil"/>
              <w:bottom w:val="nil"/>
              <w:right w:val="nil"/>
            </w:tcBorders>
            <w:vAlign w:val="bottom"/>
          </w:tcPr>
          <w:p>
            <w:pPr>
              <w:widowControl/>
              <w:jc w:val="left"/>
              <w:rPr>
                <w:rFonts w:ascii="仿宋_GB2312" w:hAnsi="仿宋_GB2312" w:eastAsia="仿宋_GB2312" w:cs="仿宋_GB2312"/>
                <w:color w:val="000000"/>
                <w:kern w:val="0"/>
                <w:sz w:val="18"/>
                <w:szCs w:val="18"/>
              </w:rPr>
            </w:pPr>
          </w:p>
        </w:tc>
        <w:tc>
          <w:tcPr>
            <w:tcW w:w="323" w:type="dxa"/>
            <w:tcBorders>
              <w:top w:val="nil"/>
              <w:left w:val="nil"/>
              <w:bottom w:val="nil"/>
              <w:right w:val="nil"/>
            </w:tcBorders>
            <w:vAlign w:val="bottom"/>
          </w:tcPr>
          <w:p>
            <w:pPr>
              <w:widowControl/>
              <w:jc w:val="left"/>
              <w:rPr>
                <w:rFonts w:ascii="仿宋_GB2312" w:hAnsi="仿宋_GB2312" w:eastAsia="仿宋_GB2312" w:cs="仿宋_GB2312"/>
                <w:color w:val="000000"/>
                <w:kern w:val="0"/>
                <w:sz w:val="18"/>
                <w:szCs w:val="18"/>
              </w:rPr>
            </w:pPr>
          </w:p>
        </w:tc>
        <w:tc>
          <w:tcPr>
            <w:tcW w:w="323" w:type="dxa"/>
            <w:tcBorders>
              <w:top w:val="nil"/>
              <w:left w:val="nil"/>
              <w:bottom w:val="nil"/>
              <w:right w:val="nil"/>
            </w:tcBorders>
            <w:vAlign w:val="bottom"/>
          </w:tcPr>
          <w:p>
            <w:pPr>
              <w:widowControl/>
              <w:jc w:val="left"/>
              <w:rPr>
                <w:rFonts w:ascii="仿宋_GB2312" w:hAnsi="仿宋_GB2312" w:eastAsia="仿宋_GB2312" w:cs="仿宋_GB2312"/>
                <w:color w:val="000000"/>
                <w:kern w:val="0"/>
                <w:sz w:val="18"/>
                <w:szCs w:val="18"/>
              </w:rPr>
            </w:pPr>
          </w:p>
        </w:tc>
        <w:tc>
          <w:tcPr>
            <w:tcW w:w="1925" w:type="dxa"/>
            <w:gridSpan w:val="2"/>
            <w:tcBorders>
              <w:top w:val="nil"/>
              <w:left w:val="nil"/>
              <w:bottom w:val="nil"/>
              <w:right w:val="nil"/>
            </w:tcBorders>
            <w:vAlign w:val="bottom"/>
          </w:tcPr>
          <w:p>
            <w:pPr>
              <w:widowControl/>
              <w:jc w:val="left"/>
              <w:rPr>
                <w:rFonts w:ascii="仿宋_GB2312" w:hAnsi="仿宋_GB2312" w:eastAsia="仿宋_GB2312" w:cs="仿宋_GB2312"/>
                <w:color w:val="000000"/>
                <w:kern w:val="0"/>
                <w:sz w:val="18"/>
                <w:szCs w:val="18"/>
              </w:rPr>
            </w:pPr>
          </w:p>
        </w:tc>
        <w:tc>
          <w:tcPr>
            <w:tcW w:w="249" w:type="dxa"/>
            <w:tcBorders>
              <w:top w:val="nil"/>
              <w:left w:val="nil"/>
              <w:bottom w:val="nil"/>
              <w:right w:val="nil"/>
            </w:tcBorders>
            <w:vAlign w:val="bottom"/>
          </w:tcPr>
          <w:p>
            <w:pPr>
              <w:widowControl/>
              <w:jc w:val="left"/>
              <w:rPr>
                <w:rFonts w:ascii="仿宋_GB2312" w:hAnsi="仿宋_GB2312" w:eastAsia="仿宋_GB2312" w:cs="仿宋_GB2312"/>
                <w:color w:val="000000"/>
                <w:kern w:val="0"/>
                <w:sz w:val="18"/>
                <w:szCs w:val="18"/>
              </w:rPr>
            </w:pPr>
          </w:p>
        </w:tc>
        <w:tc>
          <w:tcPr>
            <w:tcW w:w="3275" w:type="dxa"/>
            <w:gridSpan w:val="2"/>
            <w:tcBorders>
              <w:top w:val="nil"/>
              <w:left w:val="nil"/>
              <w:bottom w:val="nil"/>
              <w:right w:val="nil"/>
            </w:tcBorders>
            <w:vAlign w:val="bottom"/>
          </w:tcPr>
          <w:p>
            <w:pPr>
              <w:widowControl/>
              <w:jc w:val="left"/>
              <w:rPr>
                <w:rFonts w:ascii="仿宋_GB2312" w:hAnsi="仿宋_GB2312" w:eastAsia="仿宋_GB2312" w:cs="仿宋_GB2312"/>
                <w:color w:val="000000"/>
                <w:kern w:val="0"/>
                <w:sz w:val="18"/>
                <w:szCs w:val="18"/>
              </w:rPr>
            </w:pPr>
          </w:p>
        </w:tc>
        <w:tc>
          <w:tcPr>
            <w:tcW w:w="249" w:type="dxa"/>
            <w:tcBorders>
              <w:top w:val="nil"/>
              <w:left w:val="nil"/>
              <w:bottom w:val="nil"/>
              <w:right w:val="nil"/>
            </w:tcBorders>
            <w:vAlign w:val="bottom"/>
          </w:tcPr>
          <w:p>
            <w:pPr>
              <w:widowControl/>
              <w:jc w:val="left"/>
              <w:rPr>
                <w:rFonts w:ascii="仿宋_GB2312" w:hAnsi="仿宋_GB2312" w:eastAsia="仿宋_GB2312" w:cs="仿宋_GB2312"/>
                <w:color w:val="000000"/>
                <w:kern w:val="0"/>
                <w:sz w:val="18"/>
                <w:szCs w:val="18"/>
              </w:rPr>
            </w:pPr>
          </w:p>
        </w:tc>
        <w:tc>
          <w:tcPr>
            <w:tcW w:w="249" w:type="dxa"/>
            <w:tcBorders>
              <w:top w:val="nil"/>
              <w:left w:val="nil"/>
              <w:bottom w:val="nil"/>
              <w:right w:val="nil"/>
            </w:tcBorders>
            <w:vAlign w:val="bottom"/>
          </w:tcPr>
          <w:p>
            <w:pPr>
              <w:widowControl/>
              <w:jc w:val="left"/>
              <w:rPr>
                <w:rFonts w:ascii="仿宋_GB2312" w:hAnsi="仿宋_GB2312" w:eastAsia="仿宋_GB2312" w:cs="仿宋_GB2312"/>
                <w:color w:val="000000"/>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b/>
                <w:bCs/>
                <w:kern w:val="0"/>
                <w:sz w:val="18"/>
                <w:szCs w:val="18"/>
              </w:rPr>
            </w:pPr>
            <w:r>
              <w:rPr>
                <w:rFonts w:hint="eastAsia" w:ascii="仿宋_GB2312" w:hAnsi="仿宋_GB2312" w:eastAsia="仿宋_GB2312" w:cs="仿宋_GB2312"/>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昌吉州国资委</w:t>
            </w:r>
          </w:p>
        </w:tc>
        <w:tc>
          <w:tcPr>
            <w:tcW w:w="1925" w:type="dxa"/>
            <w:gridSpan w:val="2"/>
            <w:tcBorders>
              <w:top w:val="single" w:color="auto" w:sz="4" w:space="0"/>
              <w:left w:val="nil"/>
              <w:bottom w:val="single" w:color="auto" w:sz="4" w:space="0"/>
              <w:right w:val="single" w:color="auto" w:sz="4" w:space="0"/>
            </w:tcBorders>
            <w:vAlign w:val="center"/>
          </w:tcPr>
          <w:p>
            <w:pPr>
              <w:widowControl/>
              <w:jc w:val="center"/>
              <w:rPr>
                <w:rFonts w:ascii="仿宋_GB2312" w:hAnsi="仿宋_GB2312" w:eastAsia="仿宋_GB2312" w:cs="仿宋_GB2312"/>
                <w:b/>
                <w:bCs/>
                <w:kern w:val="0"/>
                <w:sz w:val="18"/>
                <w:szCs w:val="18"/>
              </w:rPr>
            </w:pPr>
            <w:r>
              <w:rPr>
                <w:rFonts w:hint="eastAsia" w:ascii="仿宋_GB2312" w:hAnsi="仿宋_GB2312" w:eastAsia="仿宋_GB2312" w:cs="仿宋_GB2312"/>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autoSpaceDN w:val="0"/>
              <w:textAlignment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律师咨询费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b/>
                <w:bCs/>
                <w:kern w:val="0"/>
                <w:sz w:val="18"/>
                <w:szCs w:val="18"/>
              </w:rPr>
            </w:pPr>
            <w:r>
              <w:rPr>
                <w:rFonts w:hint="eastAsia" w:ascii="仿宋_GB2312" w:hAnsi="仿宋_GB2312" w:eastAsia="仿宋_GB2312" w:cs="仿宋_GB2312"/>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　4</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其中：财政拨款</w:t>
            </w:r>
          </w:p>
        </w:tc>
        <w:tc>
          <w:tcPr>
            <w:tcW w:w="1925" w:type="dxa"/>
            <w:gridSpan w:val="2"/>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仿宋_GB2312" w:hAnsi="仿宋_GB2312" w:eastAsia="仿宋_GB2312" w:cs="仿宋_GB2312"/>
                <w:b/>
                <w:bCs/>
                <w:kern w:val="0"/>
                <w:sz w:val="18"/>
                <w:szCs w:val="18"/>
              </w:rPr>
            </w:pPr>
            <w:r>
              <w:rPr>
                <w:rFonts w:hint="eastAsia" w:ascii="仿宋_GB2312" w:hAnsi="仿宋_GB2312" w:eastAsia="仿宋_GB2312" w:cs="仿宋_GB2312"/>
                <w:b/>
                <w:bCs/>
                <w:kern w:val="0"/>
                <w:sz w:val="18"/>
                <w:szCs w:val="18"/>
              </w:rPr>
              <w:t>项目总体目标</w:t>
            </w:r>
          </w:p>
        </w:tc>
        <w:tc>
          <w:tcPr>
            <w:tcW w:w="11778" w:type="dxa"/>
            <w:gridSpan w:val="13"/>
            <w:tcBorders>
              <w:top w:val="nil"/>
              <w:left w:val="nil"/>
              <w:bottom w:val="single" w:color="000000" w:sz="4" w:space="0"/>
              <w:right w:val="single" w:color="000000" w:sz="4" w:space="0"/>
            </w:tcBorders>
          </w:tcPr>
          <w:p>
            <w:pPr>
              <w:autoSpaceDN w:val="0"/>
              <w:jc w:val="left"/>
              <w:textAlignment w:val="top"/>
              <w:rPr>
                <w:rFonts w:ascii="仿宋_GB2312" w:hAnsi="仿宋_GB2312" w:eastAsia="仿宋_GB2312" w:cs="仿宋_GB2312"/>
                <w:kern w:val="0"/>
                <w:sz w:val="18"/>
                <w:szCs w:val="18"/>
              </w:rPr>
            </w:pPr>
            <w:r>
              <w:rPr>
                <w:rFonts w:hint="eastAsia" w:ascii="仿宋_GB2312" w:hAnsi="仿宋_GB2312" w:eastAsia="仿宋_GB2312" w:cs="仿宋_GB2312"/>
                <w:color w:val="000000"/>
                <w:sz w:val="18"/>
                <w:szCs w:val="18"/>
              </w:rPr>
              <w:br w:type="textWrapping"/>
            </w:r>
            <w:r>
              <w:rPr>
                <w:rFonts w:hint="eastAsia" w:ascii="仿宋_GB2312" w:hAnsi="仿宋_GB2312" w:eastAsia="仿宋_GB2312" w:cs="仿宋_GB2312"/>
                <w:color w:val="000000"/>
                <w:sz w:val="18"/>
                <w:szCs w:val="18"/>
              </w:rPr>
              <w:t>律师团队在国有、国有控股、参股企业和其他企业资产监管工作，包括产权股权管理、企业改制重组、金融工作、监事会工作、与国资委有关的信访案件、完善法人治理结构和规范性文件等方面的重大决策提出法律意见和依据，从法律和政策上对操作程序及法律规定进行论证，出具合法性、可行性、有效性的法律意见</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仿宋_GB2312" w:hAnsi="仿宋_GB2312" w:eastAsia="仿宋_GB2312" w:cs="仿宋_GB2312"/>
                <w:b/>
                <w:bCs/>
                <w:kern w:val="0"/>
                <w:sz w:val="18"/>
                <w:szCs w:val="18"/>
              </w:rPr>
            </w:pPr>
            <w:r>
              <w:rPr>
                <w:rFonts w:hint="eastAsia" w:ascii="仿宋_GB2312" w:hAnsi="仿宋_GB2312" w:eastAsia="仿宋_GB2312" w:cs="仿宋_GB2312"/>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仿宋_GB2312" w:hAnsi="仿宋_GB2312" w:eastAsia="仿宋_GB2312" w:cs="仿宋_GB2312"/>
                <w:b/>
                <w:bCs/>
                <w:kern w:val="0"/>
                <w:sz w:val="18"/>
                <w:szCs w:val="18"/>
              </w:rPr>
            </w:pPr>
            <w:r>
              <w:rPr>
                <w:rFonts w:hint="eastAsia" w:ascii="仿宋_GB2312" w:hAnsi="仿宋_GB2312" w:eastAsia="仿宋_GB2312" w:cs="仿宋_GB2312"/>
                <w:b/>
                <w:bCs/>
                <w:kern w:val="0"/>
                <w:sz w:val="18"/>
                <w:szCs w:val="18"/>
              </w:rPr>
              <w:t>二级指标</w:t>
            </w:r>
          </w:p>
        </w:tc>
        <w:tc>
          <w:tcPr>
            <w:tcW w:w="5429" w:type="dxa"/>
            <w:gridSpan w:val="6"/>
            <w:tcBorders>
              <w:top w:val="single" w:color="000000" w:sz="4" w:space="0"/>
              <w:left w:val="nil"/>
              <w:bottom w:val="single" w:color="000000" w:sz="4" w:space="0"/>
              <w:right w:val="single" w:color="000000" w:sz="4" w:space="0"/>
            </w:tcBorders>
            <w:vAlign w:val="center"/>
          </w:tcPr>
          <w:p>
            <w:pPr>
              <w:widowControl/>
              <w:jc w:val="center"/>
              <w:rPr>
                <w:rFonts w:ascii="仿宋_GB2312" w:hAnsi="仿宋_GB2312" w:eastAsia="仿宋_GB2312" w:cs="仿宋_GB2312"/>
                <w:b/>
                <w:bCs/>
                <w:kern w:val="0"/>
                <w:sz w:val="18"/>
                <w:szCs w:val="18"/>
              </w:rPr>
            </w:pPr>
            <w:r>
              <w:rPr>
                <w:rFonts w:hint="eastAsia" w:ascii="仿宋_GB2312" w:hAnsi="仿宋_GB2312" w:eastAsia="仿宋_GB2312" w:cs="仿宋_GB2312"/>
                <w:b/>
                <w:bCs/>
                <w:kern w:val="0"/>
                <w:sz w:val="18"/>
                <w:szCs w:val="18"/>
              </w:rPr>
              <w:t>三级指标</w:t>
            </w:r>
          </w:p>
        </w:tc>
        <w:tc>
          <w:tcPr>
            <w:tcW w:w="4492" w:type="dxa"/>
            <w:gridSpan w:val="6"/>
            <w:tcBorders>
              <w:top w:val="single" w:color="000000" w:sz="4" w:space="0"/>
              <w:left w:val="nil"/>
              <w:bottom w:val="single" w:color="000000" w:sz="4" w:space="0"/>
              <w:right w:val="single" w:color="000000" w:sz="4" w:space="0"/>
            </w:tcBorders>
            <w:vAlign w:val="center"/>
          </w:tcPr>
          <w:p>
            <w:pPr>
              <w:widowControl/>
              <w:jc w:val="center"/>
              <w:rPr>
                <w:rFonts w:ascii="仿宋_GB2312" w:hAnsi="仿宋_GB2312" w:eastAsia="仿宋_GB2312" w:cs="仿宋_GB2312"/>
                <w:b/>
                <w:bCs/>
                <w:kern w:val="0"/>
                <w:sz w:val="18"/>
                <w:szCs w:val="18"/>
              </w:rPr>
            </w:pPr>
            <w:r>
              <w:rPr>
                <w:rFonts w:hint="eastAsia" w:ascii="仿宋_GB2312" w:hAnsi="仿宋_GB2312" w:eastAsia="仿宋_GB2312" w:cs="仿宋_GB2312"/>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成本指标</w:t>
            </w:r>
          </w:p>
        </w:tc>
        <w:tc>
          <w:tcPr>
            <w:tcW w:w="5429" w:type="dxa"/>
            <w:gridSpan w:val="6"/>
            <w:tcBorders>
              <w:top w:val="single" w:color="000000" w:sz="4" w:space="0"/>
              <w:left w:val="nil"/>
              <w:bottom w:val="single" w:color="000000" w:sz="4" w:space="0"/>
              <w:right w:val="single" w:color="000000" w:sz="4" w:space="0"/>
            </w:tcBorders>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　</w:t>
            </w:r>
          </w:p>
        </w:tc>
        <w:tc>
          <w:tcPr>
            <w:tcW w:w="4492" w:type="dxa"/>
            <w:gridSpan w:val="6"/>
            <w:tcBorders>
              <w:top w:val="single" w:color="000000" w:sz="4" w:space="0"/>
              <w:left w:val="nil"/>
              <w:bottom w:val="single" w:color="000000" w:sz="4" w:space="0"/>
              <w:right w:val="single" w:color="000000" w:sz="4" w:space="0"/>
            </w:tcBorders>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kern w:val="0"/>
                <w:sz w:val="18"/>
                <w:szCs w:val="18"/>
              </w:rPr>
            </w:pPr>
          </w:p>
        </w:tc>
        <w:tc>
          <w:tcPr>
            <w:tcW w:w="5429" w:type="dxa"/>
            <w:gridSpan w:val="6"/>
            <w:tcBorders>
              <w:top w:val="single" w:color="000000" w:sz="4" w:space="0"/>
              <w:left w:val="nil"/>
              <w:bottom w:val="single" w:color="000000" w:sz="4" w:space="0"/>
              <w:right w:val="single" w:color="000000" w:sz="4" w:space="0"/>
            </w:tcBorders>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　</w:t>
            </w:r>
          </w:p>
        </w:tc>
        <w:tc>
          <w:tcPr>
            <w:tcW w:w="4492" w:type="dxa"/>
            <w:gridSpan w:val="6"/>
            <w:tcBorders>
              <w:top w:val="single" w:color="000000" w:sz="4" w:space="0"/>
              <w:left w:val="nil"/>
              <w:bottom w:val="single" w:color="000000" w:sz="4" w:space="0"/>
              <w:right w:val="single" w:color="000000" w:sz="4" w:space="0"/>
            </w:tcBorders>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时效指标</w:t>
            </w:r>
          </w:p>
        </w:tc>
        <w:tc>
          <w:tcPr>
            <w:tcW w:w="5429" w:type="dxa"/>
            <w:gridSpan w:val="6"/>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color w:val="000000"/>
                <w:szCs w:val="21"/>
              </w:rPr>
            </w:pPr>
          </w:p>
        </w:tc>
        <w:tc>
          <w:tcPr>
            <w:tcW w:w="4492" w:type="dxa"/>
            <w:gridSpan w:val="6"/>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color w:val="000000"/>
                <w:szCs w:val="21"/>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kern w:val="0"/>
                <w:sz w:val="18"/>
                <w:szCs w:val="18"/>
              </w:rPr>
            </w:pPr>
          </w:p>
        </w:tc>
        <w:tc>
          <w:tcPr>
            <w:tcW w:w="5429" w:type="dxa"/>
            <w:gridSpan w:val="6"/>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合同履行时间是12个月</w:t>
            </w:r>
          </w:p>
        </w:tc>
        <w:tc>
          <w:tcPr>
            <w:tcW w:w="4492" w:type="dxa"/>
            <w:gridSpan w:val="6"/>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每年年底出具论证资料和意见。</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数量指标</w:t>
            </w:r>
          </w:p>
        </w:tc>
        <w:tc>
          <w:tcPr>
            <w:tcW w:w="5429" w:type="dxa"/>
            <w:gridSpan w:val="6"/>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每年进行一次法律咨询服务</w:t>
            </w:r>
          </w:p>
        </w:tc>
        <w:tc>
          <w:tcPr>
            <w:tcW w:w="4492" w:type="dxa"/>
            <w:gridSpan w:val="6"/>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每年完成对企业改制、金融工作、监事会工作、信访案件等重大决策提出法律意见</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kern w:val="0"/>
                <w:sz w:val="18"/>
                <w:szCs w:val="18"/>
              </w:rPr>
            </w:pPr>
          </w:p>
        </w:tc>
        <w:tc>
          <w:tcPr>
            <w:tcW w:w="5429" w:type="dxa"/>
            <w:gridSpan w:val="6"/>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color w:val="000000"/>
                <w:szCs w:val="21"/>
              </w:rPr>
            </w:pPr>
          </w:p>
        </w:tc>
        <w:tc>
          <w:tcPr>
            <w:tcW w:w="4492" w:type="dxa"/>
            <w:gridSpan w:val="6"/>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color w:val="000000"/>
                <w:szCs w:val="21"/>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质量指标</w:t>
            </w:r>
          </w:p>
        </w:tc>
        <w:tc>
          <w:tcPr>
            <w:tcW w:w="5429" w:type="dxa"/>
            <w:gridSpan w:val="6"/>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kern w:val="0"/>
                <w:szCs w:val="21"/>
              </w:rPr>
            </w:pPr>
            <w:r>
              <w:rPr>
                <w:rFonts w:hint="eastAsia" w:ascii="仿宋_GB2312" w:hAnsi="仿宋_GB2312" w:eastAsia="仿宋_GB2312" w:cs="仿宋_GB2312"/>
                <w:color w:val="000000"/>
                <w:szCs w:val="21"/>
              </w:rPr>
              <w:t>完成每年的合同内容100%</w:t>
            </w:r>
          </w:p>
        </w:tc>
        <w:tc>
          <w:tcPr>
            <w:tcW w:w="4492" w:type="dxa"/>
            <w:gridSpan w:val="6"/>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kern w:val="0"/>
                <w:szCs w:val="21"/>
              </w:rPr>
            </w:pPr>
            <w:r>
              <w:rPr>
                <w:rFonts w:hint="eastAsia" w:ascii="仿宋_GB2312" w:hAnsi="仿宋_GB2312" w:eastAsia="仿宋_GB2312" w:cs="仿宋_GB2312"/>
                <w:color w:val="000000"/>
                <w:szCs w:val="21"/>
              </w:rPr>
              <w:t>每年9月签订法律合同，年底100%履行合同规定。</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kern w:val="0"/>
                <w:sz w:val="18"/>
                <w:szCs w:val="18"/>
              </w:rPr>
            </w:pPr>
          </w:p>
        </w:tc>
        <w:tc>
          <w:tcPr>
            <w:tcW w:w="5429" w:type="dxa"/>
            <w:gridSpan w:val="6"/>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kern w:val="0"/>
                <w:szCs w:val="21"/>
              </w:rPr>
            </w:pPr>
            <w:r>
              <w:rPr>
                <w:rFonts w:hint="eastAsia" w:ascii="仿宋_GB2312" w:hAnsi="仿宋_GB2312" w:eastAsia="仿宋_GB2312" w:cs="仿宋_GB2312"/>
                <w:color w:val="000000"/>
                <w:szCs w:val="21"/>
              </w:rPr>
              <w:t>每年按合同完成论证任务，办结率100%</w:t>
            </w:r>
          </w:p>
        </w:tc>
        <w:tc>
          <w:tcPr>
            <w:tcW w:w="4492" w:type="dxa"/>
            <w:gridSpan w:val="6"/>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kern w:val="0"/>
                <w:szCs w:val="21"/>
              </w:rPr>
            </w:pPr>
            <w:r>
              <w:rPr>
                <w:rFonts w:hint="eastAsia" w:ascii="仿宋_GB2312" w:hAnsi="仿宋_GB2312" w:eastAsia="仿宋_GB2312" w:cs="仿宋_GB2312"/>
                <w:color w:val="000000"/>
                <w:szCs w:val="21"/>
              </w:rPr>
              <w:t>每年从法律和政策上对操作程序及法律规定进行论证出具法律意见</w:t>
            </w:r>
          </w:p>
        </w:tc>
      </w:tr>
      <w:tr>
        <w:tblPrEx>
          <w:tblLayout w:type="fixed"/>
          <w:tblCellMar>
            <w:top w:w="0" w:type="dxa"/>
            <w:left w:w="108" w:type="dxa"/>
            <w:bottom w:w="0" w:type="dxa"/>
            <w:right w:w="108" w:type="dxa"/>
          </w:tblCellMar>
        </w:tblPrEx>
        <w:trPr>
          <w:trHeight w:val="462"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经济效益指标</w:t>
            </w:r>
          </w:p>
        </w:tc>
        <w:tc>
          <w:tcPr>
            <w:tcW w:w="5429" w:type="dxa"/>
            <w:gridSpan w:val="6"/>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kern w:val="0"/>
                <w:szCs w:val="21"/>
              </w:rPr>
            </w:pPr>
          </w:p>
        </w:tc>
        <w:tc>
          <w:tcPr>
            <w:tcW w:w="4492" w:type="dxa"/>
            <w:gridSpan w:val="6"/>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kern w:val="0"/>
                <w:szCs w:val="21"/>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kern w:val="0"/>
                <w:sz w:val="18"/>
                <w:szCs w:val="18"/>
              </w:rPr>
            </w:pPr>
          </w:p>
        </w:tc>
        <w:tc>
          <w:tcPr>
            <w:tcW w:w="5429" w:type="dxa"/>
            <w:gridSpan w:val="6"/>
            <w:tcBorders>
              <w:top w:val="single" w:color="000000" w:sz="4" w:space="0"/>
              <w:left w:val="nil"/>
              <w:bottom w:val="single" w:color="000000" w:sz="4" w:space="0"/>
              <w:right w:val="single" w:color="000000" w:sz="4" w:space="0"/>
            </w:tcBorders>
            <w:vAlign w:val="center"/>
          </w:tcPr>
          <w:p>
            <w:pPr>
              <w:widowControl/>
              <w:jc w:val="left"/>
              <w:rPr>
                <w:rFonts w:ascii="仿宋_GB2312" w:hAnsi="仿宋_GB2312" w:eastAsia="仿宋_GB2312" w:cs="仿宋_GB2312"/>
                <w:kern w:val="0"/>
                <w:szCs w:val="21"/>
              </w:rPr>
            </w:pPr>
          </w:p>
        </w:tc>
        <w:tc>
          <w:tcPr>
            <w:tcW w:w="4492" w:type="dxa"/>
            <w:gridSpan w:val="6"/>
            <w:tcBorders>
              <w:top w:val="single" w:color="000000" w:sz="4" w:space="0"/>
              <w:left w:val="nil"/>
              <w:bottom w:val="single" w:color="000000" w:sz="4" w:space="0"/>
              <w:right w:val="single" w:color="000000" w:sz="4" w:space="0"/>
            </w:tcBorders>
            <w:vAlign w:val="center"/>
          </w:tcPr>
          <w:p>
            <w:pPr>
              <w:widowControl/>
              <w:jc w:val="center"/>
              <w:rPr>
                <w:rFonts w:ascii="仿宋_GB2312" w:hAnsi="仿宋_GB2312" w:eastAsia="仿宋_GB2312" w:cs="仿宋_GB2312"/>
                <w:kern w:val="0"/>
                <w:szCs w:val="21"/>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仿宋_GB2312" w:hAnsi="仿宋_GB2312" w:eastAsia="仿宋_GB2312" w:cs="仿宋_GB2312"/>
                <w:kern w:val="0"/>
                <w:sz w:val="18"/>
                <w:szCs w:val="18"/>
              </w:rPr>
            </w:pPr>
          </w:p>
        </w:tc>
        <w:tc>
          <w:tcPr>
            <w:tcW w:w="5429" w:type="dxa"/>
            <w:gridSpan w:val="6"/>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color w:val="000000"/>
                <w:szCs w:val="21"/>
              </w:rPr>
            </w:pPr>
          </w:p>
        </w:tc>
        <w:tc>
          <w:tcPr>
            <w:tcW w:w="4492" w:type="dxa"/>
            <w:gridSpan w:val="6"/>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color w:val="000000"/>
                <w:szCs w:val="21"/>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社会效益指标</w:t>
            </w:r>
          </w:p>
        </w:tc>
        <w:tc>
          <w:tcPr>
            <w:tcW w:w="5429" w:type="dxa"/>
            <w:gridSpan w:val="6"/>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color w:val="000000"/>
                <w:szCs w:val="21"/>
              </w:rPr>
            </w:pPr>
          </w:p>
        </w:tc>
        <w:tc>
          <w:tcPr>
            <w:tcW w:w="4492" w:type="dxa"/>
            <w:gridSpan w:val="6"/>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color w:val="000000"/>
                <w:szCs w:val="21"/>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kern w:val="0"/>
                <w:sz w:val="18"/>
                <w:szCs w:val="18"/>
              </w:rPr>
            </w:pPr>
          </w:p>
        </w:tc>
        <w:tc>
          <w:tcPr>
            <w:tcW w:w="5429" w:type="dxa"/>
            <w:gridSpan w:val="6"/>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每年9月聘请专业律师团队，错案率为0</w:t>
            </w:r>
          </w:p>
        </w:tc>
        <w:tc>
          <w:tcPr>
            <w:tcW w:w="4492" w:type="dxa"/>
            <w:gridSpan w:val="6"/>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自2014年起聘请北京盈科律师事务所完成此项工作，没有出现错案。</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仿宋_GB2312" w:hAnsi="仿宋_GB2312" w:eastAsia="仿宋_GB2312" w:cs="仿宋_GB2312"/>
                <w:kern w:val="0"/>
                <w:sz w:val="18"/>
                <w:szCs w:val="18"/>
              </w:rPr>
            </w:pPr>
          </w:p>
        </w:tc>
        <w:tc>
          <w:tcPr>
            <w:tcW w:w="5429" w:type="dxa"/>
            <w:gridSpan w:val="6"/>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color w:val="000000"/>
                <w:szCs w:val="21"/>
              </w:rPr>
            </w:pPr>
          </w:p>
        </w:tc>
        <w:tc>
          <w:tcPr>
            <w:tcW w:w="4492" w:type="dxa"/>
            <w:gridSpan w:val="6"/>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color w:val="000000"/>
                <w:szCs w:val="21"/>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生态效益指标</w:t>
            </w:r>
          </w:p>
        </w:tc>
        <w:tc>
          <w:tcPr>
            <w:tcW w:w="5429" w:type="dxa"/>
            <w:gridSpan w:val="6"/>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color w:val="000000"/>
                <w:szCs w:val="21"/>
              </w:rPr>
            </w:pPr>
          </w:p>
        </w:tc>
        <w:tc>
          <w:tcPr>
            <w:tcW w:w="4492" w:type="dxa"/>
            <w:gridSpan w:val="6"/>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color w:val="000000"/>
                <w:szCs w:val="21"/>
              </w:rPr>
            </w:pP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满意度指标</w:t>
            </w:r>
          </w:p>
        </w:tc>
        <w:tc>
          <w:tcPr>
            <w:tcW w:w="5429" w:type="dxa"/>
            <w:gridSpan w:val="6"/>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执行过程中投诉率为0</w:t>
            </w:r>
          </w:p>
        </w:tc>
        <w:tc>
          <w:tcPr>
            <w:tcW w:w="4492" w:type="dxa"/>
            <w:gridSpan w:val="6"/>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每年按合同出具合法性法律意见，投诉率为0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kern w:val="0"/>
                <w:sz w:val="18"/>
                <w:szCs w:val="18"/>
              </w:rPr>
            </w:pPr>
          </w:p>
        </w:tc>
        <w:tc>
          <w:tcPr>
            <w:tcW w:w="5429" w:type="dxa"/>
            <w:gridSpan w:val="6"/>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kern w:val="0"/>
                <w:szCs w:val="21"/>
              </w:rPr>
            </w:pPr>
          </w:p>
        </w:tc>
        <w:tc>
          <w:tcPr>
            <w:tcW w:w="4492" w:type="dxa"/>
            <w:gridSpan w:val="6"/>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kern w:val="0"/>
                <w:szCs w:val="21"/>
              </w:rPr>
            </w:pPr>
          </w:p>
        </w:tc>
      </w:tr>
      <w:tr>
        <w:tblPrEx>
          <w:tblLayout w:type="fixed"/>
          <w:tblCellMar>
            <w:top w:w="0" w:type="dxa"/>
            <w:left w:w="108" w:type="dxa"/>
            <w:bottom w:w="0" w:type="dxa"/>
            <w:right w:w="108" w:type="dxa"/>
          </w:tblCellMar>
        </w:tblPrEx>
        <w:trPr>
          <w:trHeight w:val="406" w:hRule="atLeast"/>
        </w:trPr>
        <w:tc>
          <w:tcPr>
            <w:tcW w:w="13973" w:type="dxa"/>
            <w:gridSpan w:val="14"/>
            <w:tcBorders>
              <w:top w:val="nil"/>
              <w:left w:val="nil"/>
              <w:bottom w:val="nil"/>
              <w:right w:val="nil"/>
            </w:tcBorders>
            <w:vAlign w:val="bottom"/>
          </w:tcPr>
          <w:p>
            <w:pPr>
              <w:widowControl/>
              <w:jc w:val="center"/>
              <w:outlineLvl w:val="1"/>
              <w:rPr>
                <w:rFonts w:ascii="宋体" w:hAnsi="宋体" w:cs="宋体"/>
                <w:b/>
                <w:bCs/>
                <w:kern w:val="0"/>
                <w:sz w:val="18"/>
                <w:szCs w:val="18"/>
              </w:rPr>
            </w:pPr>
            <w:r>
              <w:rPr>
                <w:rFonts w:hint="eastAsia" w:ascii="仿宋_GB2312" w:hAnsi="宋体" w:eastAsia="仿宋_GB2312"/>
                <w:b/>
                <w:kern w:val="0"/>
                <w:sz w:val="18"/>
                <w:szCs w:val="18"/>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昌吉州国资委</w:t>
            </w:r>
          </w:p>
        </w:tc>
        <w:tc>
          <w:tcPr>
            <w:tcW w:w="1925"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autoSpaceDN w:val="0"/>
              <w:jc w:val="center"/>
              <w:textAlignment w:val="center"/>
              <w:rPr>
                <w:rFonts w:ascii="宋体" w:hAnsi="宋体" w:cs="宋体"/>
                <w:kern w:val="0"/>
                <w:sz w:val="18"/>
                <w:szCs w:val="18"/>
              </w:rPr>
            </w:pPr>
            <w:r>
              <w:rPr>
                <w:rFonts w:ascii="宋体" w:hAnsi="宋体"/>
                <w:color w:val="000000"/>
                <w:sz w:val="18"/>
                <w:szCs w:val="18"/>
              </w:rPr>
              <w:t>举办2018年国有资产统计报表及2019年财务快报培训班</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　</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3"/>
            <w:tcBorders>
              <w:top w:val="nil"/>
              <w:left w:val="nil"/>
              <w:bottom w:val="single" w:color="000000" w:sz="4" w:space="0"/>
              <w:right w:val="single" w:color="000000" w:sz="4" w:space="0"/>
            </w:tcBorders>
          </w:tcPr>
          <w:p>
            <w:pPr>
              <w:autoSpaceDN w:val="0"/>
              <w:jc w:val="left"/>
              <w:textAlignment w:val="top"/>
              <w:rPr>
                <w:rFonts w:ascii="宋体" w:hAnsi="宋体" w:cs="宋体"/>
                <w:kern w:val="0"/>
                <w:sz w:val="18"/>
                <w:szCs w:val="18"/>
              </w:rPr>
            </w:pPr>
            <w:r>
              <w:rPr>
                <w:rFonts w:ascii="宋体" w:hAnsi="宋体"/>
                <w:color w:val="000000"/>
                <w:sz w:val="18"/>
                <w:szCs w:val="18"/>
              </w:rPr>
              <w:br w:type="textWrapping"/>
            </w:r>
            <w:r>
              <w:rPr>
                <w:rFonts w:ascii="宋体" w:hAnsi="宋体"/>
                <w:color w:val="000000"/>
                <w:sz w:val="18"/>
                <w:szCs w:val="18"/>
              </w:rPr>
              <w:t>根据国务院国资委及自治区国资委工作要求，为安排部署昌吉州五县二市三个园区国资监管部门及国有企业2018年度国有资产统计报表及2019年财务快报工作，进一步提升报表编制质量，完整、准确、及时地了解全州国有资产分布及运营情况，特于每年年初举办培训班，</w:t>
            </w:r>
            <w:r>
              <w:rPr>
                <w:rFonts w:hint="eastAsia" w:ascii="宋体" w:hAnsi="宋体"/>
                <w:color w:val="000000"/>
                <w:sz w:val="18"/>
                <w:szCs w:val="18"/>
                <w:lang w:eastAsia="zh-CN"/>
              </w:rPr>
              <w:t>安排部署</w:t>
            </w:r>
            <w:r>
              <w:rPr>
                <w:rFonts w:ascii="宋体" w:hAnsi="宋体"/>
                <w:color w:val="000000"/>
                <w:sz w:val="18"/>
                <w:szCs w:val="18"/>
              </w:rPr>
              <w:t>该项工作。</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8"/>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8"/>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8"/>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8"/>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8"/>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8"/>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每年组织培训1次</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每年按时组织快报培训1次，提高培训质量。</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8"/>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18"/>
                <w:szCs w:val="18"/>
              </w:rPr>
            </w:pPr>
            <w:r>
              <w:rPr>
                <w:rFonts w:ascii="宋体" w:hAnsi="宋体"/>
                <w:color w:val="000000"/>
                <w:sz w:val="18"/>
                <w:szCs w:val="18"/>
              </w:rPr>
              <w:t>参加培训人次80余人</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18"/>
                <w:szCs w:val="18"/>
              </w:rPr>
            </w:pPr>
            <w:r>
              <w:rPr>
                <w:rFonts w:ascii="宋体" w:hAnsi="宋体"/>
                <w:color w:val="000000"/>
                <w:sz w:val="18"/>
                <w:szCs w:val="18"/>
              </w:rPr>
              <w:t>每年参加快报培训80余人，提高了业务水平</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8"/>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18"/>
                <w:szCs w:val="18"/>
              </w:rPr>
            </w:pPr>
            <w:r>
              <w:rPr>
                <w:rFonts w:ascii="宋体" w:hAnsi="宋体"/>
                <w:color w:val="000000"/>
                <w:sz w:val="18"/>
                <w:szCs w:val="18"/>
              </w:rPr>
              <w:t>培训天数5天</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18"/>
                <w:szCs w:val="18"/>
              </w:rPr>
            </w:pPr>
            <w:r>
              <w:rPr>
                <w:rFonts w:ascii="宋体" w:hAnsi="宋体"/>
                <w:color w:val="000000"/>
                <w:sz w:val="18"/>
                <w:szCs w:val="18"/>
              </w:rPr>
              <w:t>每年持续培训天数5天，要求按时参加培训。</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8"/>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培训覆盖率100%</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培训对象占应覆盖对象数量的比率是100%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8"/>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出勤率100%</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严格考勤制度要求培训期间不得请假，实际出勤占培训学员的100%</w:t>
            </w:r>
          </w:p>
        </w:tc>
      </w:tr>
      <w:tr>
        <w:tblPrEx>
          <w:tblLayout w:type="fixed"/>
          <w:tblCellMar>
            <w:top w:w="0" w:type="dxa"/>
            <w:left w:w="108" w:type="dxa"/>
            <w:bottom w:w="0" w:type="dxa"/>
            <w:right w:w="108" w:type="dxa"/>
          </w:tblCellMar>
        </w:tblPrEx>
        <w:trPr>
          <w:trHeight w:val="462"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8"/>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8"/>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8"/>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8"/>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8"/>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8"/>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8"/>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8"/>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8"/>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受训学员满意度为100%</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通过培训学员满意度100%，大大提高了业务水平，达到了预期效果。</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8"/>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受训学员满意度为100%</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通过培训学员满意度100%，大大提高了业务水平，达到了预期效果。</w:t>
            </w:r>
          </w:p>
        </w:tc>
      </w:tr>
    </w:tbl>
    <w:p>
      <w:pPr>
        <w:widowControl/>
        <w:spacing w:line="560" w:lineRule="exact"/>
        <w:ind w:firstLine="411" w:firstLineChars="196"/>
        <w:jc w:val="left"/>
        <w:sectPr>
          <w:pgSz w:w="16838" w:h="11906" w:orient="landscape"/>
          <w:pgMar w:top="1361" w:right="2098" w:bottom="1361" w:left="1928" w:header="851" w:footer="992" w:gutter="0"/>
          <w:cols w:space="720" w:num="1"/>
          <w:docGrid w:linePitch="312" w:charSpace="0"/>
        </w:sectPr>
      </w:pPr>
    </w:p>
    <w:tbl>
      <w:tblPr>
        <w:tblStyle w:val="4"/>
        <w:tblW w:w="13973" w:type="dxa"/>
        <w:tblInd w:w="93" w:type="dxa"/>
        <w:tblLayout w:type="fixed"/>
        <w:tblCellMar>
          <w:top w:w="0" w:type="dxa"/>
          <w:left w:w="108" w:type="dxa"/>
          <w:bottom w:w="0" w:type="dxa"/>
          <w:right w:w="108" w:type="dxa"/>
        </w:tblCellMar>
      </w:tblPr>
      <w:tblGrid>
        <w:gridCol w:w="2195"/>
        <w:gridCol w:w="1857"/>
        <w:gridCol w:w="2164"/>
        <w:gridCol w:w="1810"/>
        <w:gridCol w:w="1925"/>
        <w:gridCol w:w="249"/>
        <w:gridCol w:w="1132"/>
        <w:gridCol w:w="2641"/>
      </w:tblGrid>
      <w:tr>
        <w:tblPrEx>
          <w:tblLayout w:type="fixed"/>
          <w:tblCellMar>
            <w:top w:w="0" w:type="dxa"/>
            <w:left w:w="108" w:type="dxa"/>
            <w:bottom w:w="0" w:type="dxa"/>
            <w:right w:w="108" w:type="dxa"/>
          </w:tblCellMar>
        </w:tblPrEx>
        <w:trPr>
          <w:trHeight w:val="406" w:hRule="atLeast"/>
        </w:trPr>
        <w:tc>
          <w:tcPr>
            <w:tcW w:w="13973" w:type="dxa"/>
            <w:gridSpan w:val="8"/>
            <w:tcBorders>
              <w:top w:val="nil"/>
              <w:left w:val="nil"/>
              <w:bottom w:val="nil"/>
              <w:right w:val="nil"/>
            </w:tcBorders>
            <w:vAlign w:val="bottom"/>
          </w:tcPr>
          <w:p>
            <w:pPr>
              <w:widowControl/>
              <w:jc w:val="center"/>
              <w:outlineLvl w:val="1"/>
              <w:rPr>
                <w:rFonts w:ascii="宋体" w:hAnsi="宋体" w:cs="宋体"/>
                <w:b/>
                <w:bCs/>
                <w:kern w:val="0"/>
                <w:sz w:val="18"/>
                <w:szCs w:val="18"/>
              </w:rPr>
            </w:pPr>
            <w:r>
              <w:rPr>
                <w:rFonts w:hint="eastAsia" w:ascii="仿宋_GB2312" w:hAnsi="宋体" w:eastAsia="仿宋_GB2312"/>
                <w:b/>
                <w:kern w:val="0"/>
                <w:sz w:val="18"/>
                <w:szCs w:val="18"/>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3"/>
            <w:tcBorders>
              <w:top w:val="single" w:color="auto" w:sz="4" w:space="0"/>
              <w:left w:val="nil"/>
              <w:bottom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昌吉州国资委</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3"/>
            <w:tcBorders>
              <w:top w:val="single" w:color="auto" w:sz="4" w:space="0"/>
              <w:left w:val="nil"/>
              <w:bottom w:val="single" w:color="auto" w:sz="4" w:space="0"/>
              <w:right w:val="single" w:color="auto" w:sz="4" w:space="0"/>
            </w:tcBorders>
            <w:vAlign w:val="center"/>
          </w:tcPr>
          <w:p>
            <w:pPr>
              <w:autoSpaceDN w:val="0"/>
              <w:jc w:val="center"/>
              <w:textAlignment w:val="center"/>
              <w:rPr>
                <w:rFonts w:ascii="宋体" w:hAnsi="宋体" w:cs="宋体"/>
                <w:kern w:val="0"/>
                <w:sz w:val="18"/>
                <w:szCs w:val="18"/>
              </w:rPr>
            </w:pPr>
            <w:r>
              <w:rPr>
                <w:rFonts w:ascii="宋体" w:hAnsi="宋体"/>
                <w:color w:val="000000"/>
                <w:sz w:val="18"/>
                <w:szCs w:val="18"/>
              </w:rPr>
              <w:t>昌吉州国资系统组织国有企业党组织书记学习</w:t>
            </w:r>
            <w:r>
              <w:rPr>
                <w:rFonts w:hint="eastAsia" w:ascii="宋体" w:hAnsi="宋体"/>
                <w:color w:val="000000"/>
                <w:sz w:val="18"/>
                <w:szCs w:val="18"/>
                <w:lang w:eastAsia="zh-CN"/>
              </w:rPr>
              <w:t>《中国共产党支部工作条例（试行）》</w:t>
            </w:r>
            <w:r>
              <w:rPr>
                <w:rFonts w:ascii="宋体" w:hAnsi="宋体"/>
                <w:color w:val="000000"/>
                <w:sz w:val="18"/>
                <w:szCs w:val="18"/>
              </w:rPr>
              <w:t>培训班</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8</w:t>
            </w:r>
          </w:p>
        </w:tc>
        <w:tc>
          <w:tcPr>
            <w:tcW w:w="181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8</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7"/>
            <w:tcBorders>
              <w:top w:val="nil"/>
              <w:left w:val="nil"/>
              <w:bottom w:val="single" w:color="000000" w:sz="4" w:space="0"/>
              <w:right w:val="single" w:color="000000" w:sz="4" w:space="0"/>
            </w:tcBorders>
          </w:tcPr>
          <w:p>
            <w:pPr>
              <w:autoSpaceDN w:val="0"/>
              <w:jc w:val="left"/>
              <w:textAlignment w:val="top"/>
              <w:rPr>
                <w:rFonts w:ascii="宋体" w:hAnsi="宋体" w:cs="宋体"/>
                <w:kern w:val="0"/>
                <w:sz w:val="18"/>
                <w:szCs w:val="18"/>
              </w:rPr>
            </w:pPr>
            <w:r>
              <w:rPr>
                <w:rFonts w:ascii="宋体" w:hAnsi="宋体"/>
                <w:color w:val="000000"/>
                <w:sz w:val="18"/>
                <w:szCs w:val="18"/>
              </w:rPr>
              <w:br w:type="textWrapping"/>
            </w:r>
            <w:r>
              <w:rPr>
                <w:rFonts w:ascii="宋体" w:hAnsi="宋体"/>
                <w:color w:val="000000"/>
                <w:sz w:val="18"/>
                <w:szCs w:val="18"/>
              </w:rPr>
              <w:t>组织国有企业根据关于认真组织学习宣传和贯彻落实《中国共产党支部工作条例（试行）》的通知（昌州党组〔2018〕132号），通过学习，使党组织负责人认识到党支部是党的基础组织，是党在社会基层组织中的战斗堡垒，是党的全部工作和战斗力的基础，担负直接教育党员、管理党员、监督党员和组织群众、宣传群众、凝聚群众、服务群众的职责。2019年计划在全系统举办两期学习条例培训班。党组织书记深入学习了解和掌握中央、自治区、州党委加强国有企业党的建设工作相关政策、部署和要求。学习《中国共产党支部工作条例</w:t>
            </w:r>
            <w:r>
              <w:rPr>
                <w:rFonts w:hint="eastAsia" w:ascii="宋体" w:hAnsi="宋体"/>
                <w:color w:val="000000"/>
                <w:sz w:val="18"/>
                <w:szCs w:val="18"/>
              </w:rPr>
              <w:t>（试行）</w:t>
            </w:r>
            <w:r>
              <w:rPr>
                <w:rFonts w:ascii="宋体" w:hAnsi="宋体"/>
                <w:color w:val="000000"/>
                <w:sz w:val="18"/>
                <w:szCs w:val="18"/>
              </w:rPr>
              <w:t>》</w:t>
            </w:r>
            <w:r>
              <w:rPr>
                <w:rFonts w:hint="eastAsia" w:ascii="宋体" w:hAnsi="宋体"/>
                <w:color w:val="000000"/>
                <w:sz w:val="18"/>
                <w:szCs w:val="18"/>
              </w:rPr>
              <w:t>、</w:t>
            </w:r>
            <w:r>
              <w:rPr>
                <w:rFonts w:ascii="宋体" w:hAnsi="宋体"/>
                <w:color w:val="000000"/>
                <w:sz w:val="18"/>
                <w:szCs w:val="18"/>
              </w:rPr>
              <w:t>党章、《党规》等。采取自治州专家和实地观摩相结合的方式授课。费用预计8万元。</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组织培训2次</w:t>
            </w: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每年组织培训班次2次</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18"/>
                <w:szCs w:val="18"/>
              </w:rPr>
            </w:pPr>
            <w:r>
              <w:rPr>
                <w:rFonts w:ascii="宋体" w:hAnsi="宋体"/>
                <w:color w:val="000000"/>
                <w:sz w:val="18"/>
                <w:szCs w:val="18"/>
              </w:rPr>
              <w:t>参加培训人数达200人</w:t>
            </w: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18"/>
                <w:szCs w:val="18"/>
              </w:rPr>
            </w:pPr>
            <w:r>
              <w:rPr>
                <w:rFonts w:ascii="宋体" w:hAnsi="宋体"/>
                <w:color w:val="000000"/>
                <w:sz w:val="18"/>
                <w:szCs w:val="18"/>
              </w:rPr>
              <w:t>企业参加人数达200人次</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18"/>
                <w:szCs w:val="18"/>
              </w:rPr>
            </w:pPr>
            <w:r>
              <w:rPr>
                <w:rFonts w:ascii="宋体" w:hAnsi="宋体"/>
                <w:color w:val="000000"/>
                <w:sz w:val="18"/>
                <w:szCs w:val="18"/>
              </w:rPr>
              <w:t>培训组织天数5天</w:t>
            </w: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18"/>
                <w:szCs w:val="18"/>
              </w:rPr>
            </w:pPr>
            <w:r>
              <w:rPr>
                <w:rFonts w:ascii="宋体" w:hAnsi="宋体"/>
                <w:color w:val="000000"/>
                <w:sz w:val="18"/>
                <w:szCs w:val="18"/>
              </w:rPr>
              <w:t>培训持续开展，总计5天</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18"/>
                <w:szCs w:val="18"/>
              </w:rPr>
            </w:pPr>
            <w:r>
              <w:rPr>
                <w:rFonts w:ascii="宋体" w:hAnsi="宋体"/>
                <w:color w:val="000000"/>
                <w:sz w:val="18"/>
                <w:szCs w:val="18"/>
              </w:rPr>
              <w:t>培训覆盖率为100%</w:t>
            </w: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18"/>
                <w:szCs w:val="18"/>
              </w:rPr>
            </w:pPr>
            <w:r>
              <w:rPr>
                <w:rFonts w:ascii="宋体" w:hAnsi="宋体"/>
                <w:color w:val="000000"/>
                <w:sz w:val="18"/>
                <w:szCs w:val="18"/>
              </w:rPr>
              <w:t>培训对象为200人次，占应覆盖对象数量100%</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出勤率100%</w:t>
            </w: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严格按考勤制度执行，要求出勤率100%</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培训合格率100%</w:t>
            </w: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成绩合格发培训合格证书，合格率为100%</w:t>
            </w:r>
          </w:p>
        </w:tc>
      </w:tr>
      <w:tr>
        <w:tblPrEx>
          <w:tblLayout w:type="fixed"/>
          <w:tblCellMar>
            <w:top w:w="0" w:type="dxa"/>
            <w:left w:w="108" w:type="dxa"/>
            <w:bottom w:w="0" w:type="dxa"/>
            <w:right w:w="108" w:type="dxa"/>
          </w:tblCellMar>
        </w:tblPrEx>
        <w:trPr>
          <w:trHeight w:val="462"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受训学员满意度100%</w:t>
            </w: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自开展培训以来受到培训学员的一致好评，达到培训效果。</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受训学员满意度100%</w:t>
            </w: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自开展培训以来受到培训学员的一致好评，达到培训效果。</w:t>
            </w:r>
          </w:p>
        </w:tc>
      </w:tr>
    </w:tbl>
    <w:p>
      <w:pPr>
        <w:widowControl/>
        <w:spacing w:line="560" w:lineRule="exact"/>
        <w:ind w:firstLine="411" w:firstLineChars="196"/>
        <w:jc w:val="left"/>
        <w:sectPr>
          <w:pgSz w:w="16838" w:h="11906" w:orient="landscape"/>
          <w:pgMar w:top="510" w:right="2098" w:bottom="510" w:left="1928" w:header="851" w:footer="992" w:gutter="0"/>
          <w:cols w:space="720" w:num="1"/>
          <w:docGrid w:linePitch="312" w:charSpace="0"/>
        </w:sectPr>
      </w:pPr>
    </w:p>
    <w:tbl>
      <w:tblPr>
        <w:tblStyle w:val="4"/>
        <w:tblW w:w="13973" w:type="dxa"/>
        <w:tblInd w:w="93" w:type="dxa"/>
        <w:tblLayout w:type="fixed"/>
        <w:tblCellMar>
          <w:top w:w="0" w:type="dxa"/>
          <w:left w:w="108" w:type="dxa"/>
          <w:bottom w:w="0" w:type="dxa"/>
          <w:right w:w="108" w:type="dxa"/>
        </w:tblCellMar>
      </w:tblPr>
      <w:tblGrid>
        <w:gridCol w:w="2195"/>
        <w:gridCol w:w="1857"/>
        <w:gridCol w:w="2164"/>
        <w:gridCol w:w="1810"/>
        <w:gridCol w:w="1925"/>
        <w:gridCol w:w="249"/>
        <w:gridCol w:w="1132"/>
        <w:gridCol w:w="2641"/>
      </w:tblGrid>
      <w:tr>
        <w:tblPrEx>
          <w:tblLayout w:type="fixed"/>
          <w:tblCellMar>
            <w:top w:w="0" w:type="dxa"/>
            <w:left w:w="108" w:type="dxa"/>
            <w:bottom w:w="0" w:type="dxa"/>
            <w:right w:w="108" w:type="dxa"/>
          </w:tblCellMar>
        </w:tblPrEx>
        <w:trPr>
          <w:trHeight w:val="406" w:hRule="atLeast"/>
        </w:trPr>
        <w:tc>
          <w:tcPr>
            <w:tcW w:w="13973" w:type="dxa"/>
            <w:gridSpan w:val="8"/>
            <w:tcBorders>
              <w:top w:val="nil"/>
              <w:left w:val="nil"/>
              <w:bottom w:val="nil"/>
              <w:right w:val="nil"/>
            </w:tcBorders>
            <w:vAlign w:val="bottom"/>
          </w:tcPr>
          <w:p>
            <w:pPr>
              <w:widowControl/>
              <w:jc w:val="center"/>
              <w:outlineLvl w:val="1"/>
              <w:rPr>
                <w:rFonts w:ascii="宋体" w:hAnsi="宋体" w:cs="宋体"/>
                <w:b/>
                <w:bCs/>
                <w:kern w:val="0"/>
                <w:sz w:val="18"/>
                <w:szCs w:val="18"/>
              </w:rPr>
            </w:pPr>
            <w:r>
              <w:rPr>
                <w:rFonts w:hint="eastAsia" w:ascii="仿宋_GB2312" w:hAnsi="宋体" w:eastAsia="仿宋_GB2312"/>
                <w:b/>
                <w:kern w:val="0"/>
                <w:sz w:val="18"/>
                <w:szCs w:val="18"/>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3"/>
            <w:tcBorders>
              <w:top w:val="single" w:color="auto" w:sz="4" w:space="0"/>
              <w:left w:val="nil"/>
              <w:bottom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昌吉州国资委</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3"/>
            <w:tcBorders>
              <w:top w:val="single" w:color="auto" w:sz="4" w:space="0"/>
              <w:left w:val="nil"/>
              <w:bottom w:val="single" w:color="auto" w:sz="4" w:space="0"/>
              <w:right w:val="single" w:color="auto" w:sz="4" w:space="0"/>
            </w:tcBorders>
            <w:vAlign w:val="center"/>
          </w:tcPr>
          <w:p>
            <w:pPr>
              <w:autoSpaceDN w:val="0"/>
              <w:jc w:val="center"/>
              <w:textAlignment w:val="center"/>
              <w:rPr>
                <w:rFonts w:ascii="宋体" w:hAnsi="宋体" w:cs="宋体"/>
                <w:kern w:val="0"/>
                <w:sz w:val="18"/>
                <w:szCs w:val="18"/>
              </w:rPr>
            </w:pPr>
            <w:r>
              <w:rPr>
                <w:rFonts w:ascii="宋体" w:hAnsi="宋体"/>
                <w:color w:val="000000"/>
                <w:sz w:val="18"/>
                <w:szCs w:val="18"/>
              </w:rPr>
              <w:t>对监管企业的年终财务审计费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57</w:t>
            </w:r>
          </w:p>
        </w:tc>
        <w:tc>
          <w:tcPr>
            <w:tcW w:w="181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57</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7"/>
            <w:tcBorders>
              <w:top w:val="nil"/>
              <w:left w:val="nil"/>
              <w:bottom w:val="single" w:color="000000" w:sz="4" w:space="0"/>
              <w:right w:val="single" w:color="000000" w:sz="4" w:space="0"/>
            </w:tcBorders>
          </w:tcPr>
          <w:p>
            <w:pPr>
              <w:autoSpaceDN w:val="0"/>
              <w:jc w:val="left"/>
              <w:textAlignment w:val="top"/>
              <w:rPr>
                <w:rFonts w:ascii="宋体" w:hAnsi="宋体" w:cs="宋体"/>
                <w:kern w:val="0"/>
                <w:sz w:val="18"/>
                <w:szCs w:val="18"/>
              </w:rPr>
            </w:pPr>
            <w:r>
              <w:rPr>
                <w:rFonts w:ascii="宋体" w:hAnsi="宋体"/>
                <w:color w:val="000000"/>
                <w:sz w:val="18"/>
                <w:szCs w:val="18"/>
              </w:rPr>
              <w:br w:type="textWrapping"/>
            </w:r>
            <w:r>
              <w:rPr>
                <w:rFonts w:ascii="宋体" w:hAnsi="宋体"/>
                <w:color w:val="000000"/>
                <w:sz w:val="18"/>
                <w:szCs w:val="18"/>
              </w:rPr>
              <w:t>根据《昌吉州国资委选聘审计评估中介机构管理办法》规定（昌州国资发201524号，每年开展对监管企业的年终审计，为监督、决策、考核提供必要的依据。）</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参考上年度监督检查次数8次</w:t>
            </w: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对直接监管企业8家进行8次监督检查</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18"/>
                <w:szCs w:val="18"/>
              </w:rPr>
            </w:pPr>
            <w:r>
              <w:rPr>
                <w:rFonts w:ascii="宋体" w:hAnsi="宋体"/>
                <w:color w:val="000000"/>
                <w:sz w:val="18"/>
                <w:szCs w:val="18"/>
              </w:rPr>
              <w:t>监督检查人6人次</w:t>
            </w: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18"/>
                <w:szCs w:val="18"/>
              </w:rPr>
            </w:pPr>
            <w:r>
              <w:rPr>
                <w:rFonts w:ascii="宋体" w:hAnsi="宋体"/>
                <w:color w:val="000000"/>
                <w:sz w:val="18"/>
                <w:szCs w:val="18"/>
              </w:rPr>
              <w:t>参与监督检查工作人数为6人</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18"/>
                <w:szCs w:val="18"/>
              </w:rPr>
            </w:pPr>
            <w:r>
              <w:rPr>
                <w:rFonts w:ascii="宋体" w:hAnsi="宋体"/>
                <w:color w:val="000000"/>
                <w:sz w:val="18"/>
                <w:szCs w:val="18"/>
              </w:rPr>
              <w:t>形成工作报告9份</w:t>
            </w: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18"/>
                <w:szCs w:val="18"/>
              </w:rPr>
            </w:pPr>
            <w:r>
              <w:rPr>
                <w:rFonts w:ascii="宋体" w:hAnsi="宋体"/>
                <w:color w:val="000000"/>
                <w:sz w:val="18"/>
                <w:szCs w:val="18"/>
              </w:rPr>
              <w:t>监督检查工作开展完成后总计形成9份工作报告，对发现问题限期整改</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18"/>
                <w:szCs w:val="18"/>
              </w:rPr>
            </w:pPr>
            <w:r>
              <w:rPr>
                <w:rFonts w:ascii="宋体" w:hAnsi="宋体"/>
                <w:color w:val="000000"/>
                <w:sz w:val="18"/>
                <w:szCs w:val="18"/>
              </w:rPr>
              <w:t>形成监督整改书9份</w:t>
            </w: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18"/>
                <w:szCs w:val="18"/>
              </w:rPr>
            </w:pPr>
            <w:r>
              <w:rPr>
                <w:rFonts w:ascii="宋体" w:hAnsi="宋体"/>
                <w:color w:val="000000"/>
                <w:sz w:val="18"/>
                <w:szCs w:val="18"/>
              </w:rPr>
              <w:t>及时提出整改意见，针对发现问题所形成的监督整改书9份</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18"/>
                <w:szCs w:val="18"/>
              </w:rPr>
            </w:pPr>
            <w:r>
              <w:rPr>
                <w:rFonts w:ascii="宋体" w:hAnsi="宋体"/>
                <w:color w:val="000000"/>
                <w:sz w:val="18"/>
                <w:szCs w:val="18"/>
              </w:rPr>
              <w:t>审计报告数量9份</w:t>
            </w: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18"/>
                <w:szCs w:val="18"/>
              </w:rPr>
            </w:pPr>
            <w:r>
              <w:rPr>
                <w:rFonts w:ascii="宋体" w:hAnsi="宋体"/>
                <w:color w:val="000000"/>
                <w:sz w:val="18"/>
                <w:szCs w:val="18"/>
              </w:rPr>
              <w:t>对监督检查形成的审计报告数量9份，</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问题回查率100%</w:t>
            </w: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针对检查发现的问题进行回访、回查回访数量占发现问题总数的比率为100%</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问题整改率100%</w:t>
            </w: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已整改的问题数量占发现问题总数的比率100%，让监督检查达到预期效果</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检查覆盖率100%</w:t>
            </w: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世纪开展的监督检查对象数量占监管对象总数</w:t>
            </w:r>
          </w:p>
        </w:tc>
      </w:tr>
      <w:tr>
        <w:tblPrEx>
          <w:tblLayout w:type="fixed"/>
          <w:tblCellMar>
            <w:top w:w="0" w:type="dxa"/>
            <w:left w:w="108" w:type="dxa"/>
            <w:bottom w:w="0" w:type="dxa"/>
            <w:right w:w="108" w:type="dxa"/>
          </w:tblCellMar>
        </w:tblPrEx>
        <w:trPr>
          <w:trHeight w:val="462"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r>
    </w:tbl>
    <w:p>
      <w:pPr>
        <w:widowControl/>
        <w:spacing w:line="560" w:lineRule="exact"/>
        <w:jc w:val="left"/>
        <w:rPr>
          <w:rFonts w:ascii="楷体_GB2312" w:hAnsi="宋体" w:eastAsia="楷体_GB2312" w:cs="宋体"/>
          <w:b/>
          <w:kern w:val="0"/>
          <w:sz w:val="32"/>
          <w:szCs w:val="32"/>
        </w:rPr>
      </w:pPr>
    </w:p>
    <w:p>
      <w:pPr>
        <w:widowControl/>
        <w:spacing w:line="560" w:lineRule="exact"/>
        <w:ind w:firstLine="411" w:firstLineChars="196"/>
        <w:jc w:val="left"/>
        <w:sectPr>
          <w:pgSz w:w="16838" w:h="11906" w:orient="landscape"/>
          <w:pgMar w:top="397" w:right="2098" w:bottom="227" w:left="1928" w:header="851" w:footer="992" w:gutter="0"/>
          <w:cols w:space="720" w:num="1"/>
          <w:docGrid w:linePitch="312" w:charSpace="0"/>
        </w:sectPr>
      </w:pPr>
    </w:p>
    <w:tbl>
      <w:tblPr>
        <w:tblStyle w:val="4"/>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hAnsi="宋体" w:cs="宋体"/>
                <w:b/>
                <w:bCs/>
                <w:kern w:val="0"/>
                <w:sz w:val="18"/>
                <w:szCs w:val="18"/>
              </w:rPr>
            </w:pPr>
            <w:r>
              <w:rPr>
                <w:rFonts w:hint="eastAsia" w:ascii="仿宋_GB2312" w:hAnsi="宋体" w:eastAsia="仿宋_GB2312"/>
                <w:b/>
                <w:kern w:val="0"/>
                <w:sz w:val="18"/>
                <w:szCs w:val="18"/>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hAnsi="宋体" w:cs="宋体"/>
                <w:color w:val="000000"/>
                <w:kern w:val="0"/>
                <w:sz w:val="18"/>
                <w:szCs w:val="18"/>
              </w:rPr>
            </w:pPr>
          </w:p>
        </w:tc>
        <w:tc>
          <w:tcPr>
            <w:tcW w:w="1857" w:type="dxa"/>
            <w:tcBorders>
              <w:top w:val="nil"/>
              <w:left w:val="nil"/>
              <w:bottom w:val="nil"/>
              <w:right w:val="nil"/>
            </w:tcBorders>
            <w:vAlign w:val="bottom"/>
          </w:tcPr>
          <w:p>
            <w:pPr>
              <w:widowControl/>
              <w:jc w:val="left"/>
              <w:rPr>
                <w:rFonts w:ascii="宋体" w:hAnsi="宋体" w:cs="宋体"/>
                <w:color w:val="000000"/>
                <w:kern w:val="0"/>
                <w:sz w:val="18"/>
                <w:szCs w:val="18"/>
              </w:rPr>
            </w:pPr>
          </w:p>
        </w:tc>
        <w:tc>
          <w:tcPr>
            <w:tcW w:w="1664" w:type="dxa"/>
            <w:tcBorders>
              <w:top w:val="nil"/>
              <w:left w:val="nil"/>
              <w:bottom w:val="nil"/>
              <w:right w:val="nil"/>
            </w:tcBorders>
            <w:vAlign w:val="bottom"/>
          </w:tcPr>
          <w:p>
            <w:pPr>
              <w:widowControl/>
              <w:jc w:val="left"/>
              <w:rPr>
                <w:rFonts w:ascii="宋体" w:hAnsi="宋体" w:cs="宋体"/>
                <w:color w:val="000000"/>
                <w:kern w:val="0"/>
                <w:sz w:val="18"/>
                <w:szCs w:val="18"/>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18"/>
                <w:szCs w:val="18"/>
              </w:rPr>
            </w:pPr>
          </w:p>
        </w:tc>
        <w:tc>
          <w:tcPr>
            <w:tcW w:w="323" w:type="dxa"/>
            <w:tcBorders>
              <w:top w:val="nil"/>
              <w:left w:val="nil"/>
              <w:bottom w:val="nil"/>
              <w:right w:val="nil"/>
            </w:tcBorders>
            <w:vAlign w:val="bottom"/>
          </w:tcPr>
          <w:p>
            <w:pPr>
              <w:widowControl/>
              <w:jc w:val="left"/>
              <w:rPr>
                <w:rFonts w:ascii="宋体" w:hAnsi="宋体" w:cs="宋体"/>
                <w:color w:val="000000"/>
                <w:kern w:val="0"/>
                <w:sz w:val="18"/>
                <w:szCs w:val="18"/>
              </w:rPr>
            </w:pPr>
          </w:p>
        </w:tc>
        <w:tc>
          <w:tcPr>
            <w:tcW w:w="323" w:type="dxa"/>
            <w:tcBorders>
              <w:top w:val="nil"/>
              <w:left w:val="nil"/>
              <w:bottom w:val="nil"/>
              <w:right w:val="nil"/>
            </w:tcBorders>
            <w:vAlign w:val="bottom"/>
          </w:tcPr>
          <w:p>
            <w:pPr>
              <w:widowControl/>
              <w:jc w:val="left"/>
              <w:rPr>
                <w:rFonts w:ascii="宋体" w:hAnsi="宋体" w:cs="宋体"/>
                <w:color w:val="000000"/>
                <w:kern w:val="0"/>
                <w:sz w:val="18"/>
                <w:szCs w:val="18"/>
              </w:rPr>
            </w:pPr>
          </w:p>
        </w:tc>
        <w:tc>
          <w:tcPr>
            <w:tcW w:w="1925" w:type="dxa"/>
            <w:tcBorders>
              <w:top w:val="nil"/>
              <w:left w:val="nil"/>
              <w:bottom w:val="nil"/>
              <w:right w:val="nil"/>
            </w:tcBorders>
            <w:vAlign w:val="bottom"/>
          </w:tcPr>
          <w:p>
            <w:pPr>
              <w:widowControl/>
              <w:jc w:val="left"/>
              <w:rPr>
                <w:rFonts w:ascii="宋体" w:hAnsi="宋体" w:cs="宋体"/>
                <w:color w:val="000000"/>
                <w:kern w:val="0"/>
                <w:sz w:val="18"/>
                <w:szCs w:val="18"/>
              </w:rPr>
            </w:pPr>
          </w:p>
        </w:tc>
        <w:tc>
          <w:tcPr>
            <w:tcW w:w="249" w:type="dxa"/>
            <w:tcBorders>
              <w:top w:val="nil"/>
              <w:left w:val="nil"/>
              <w:bottom w:val="nil"/>
              <w:right w:val="nil"/>
            </w:tcBorders>
            <w:vAlign w:val="bottom"/>
          </w:tcPr>
          <w:p>
            <w:pPr>
              <w:widowControl/>
              <w:jc w:val="left"/>
              <w:rPr>
                <w:rFonts w:ascii="宋体" w:hAnsi="宋体" w:cs="宋体"/>
                <w:color w:val="000000"/>
                <w:kern w:val="0"/>
                <w:sz w:val="18"/>
                <w:szCs w:val="18"/>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18"/>
                <w:szCs w:val="18"/>
              </w:rPr>
            </w:pPr>
          </w:p>
        </w:tc>
        <w:tc>
          <w:tcPr>
            <w:tcW w:w="249" w:type="dxa"/>
            <w:tcBorders>
              <w:top w:val="nil"/>
              <w:left w:val="nil"/>
              <w:bottom w:val="nil"/>
              <w:right w:val="nil"/>
            </w:tcBorders>
            <w:vAlign w:val="bottom"/>
          </w:tcPr>
          <w:p>
            <w:pPr>
              <w:widowControl/>
              <w:jc w:val="left"/>
              <w:rPr>
                <w:rFonts w:ascii="宋体" w:hAnsi="宋体" w:cs="宋体"/>
                <w:color w:val="000000"/>
                <w:kern w:val="0"/>
                <w:sz w:val="18"/>
                <w:szCs w:val="18"/>
              </w:rPr>
            </w:pPr>
          </w:p>
        </w:tc>
        <w:tc>
          <w:tcPr>
            <w:tcW w:w="249" w:type="dxa"/>
            <w:tcBorders>
              <w:top w:val="nil"/>
              <w:left w:val="nil"/>
              <w:bottom w:val="nil"/>
              <w:right w:val="nil"/>
            </w:tcBorders>
            <w:vAlign w:val="bottom"/>
          </w:tcPr>
          <w:p>
            <w:pPr>
              <w:widowControl/>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昌吉州国资委</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autoSpaceDN w:val="0"/>
              <w:jc w:val="center"/>
              <w:textAlignment w:val="center"/>
              <w:rPr>
                <w:rFonts w:ascii="宋体" w:hAnsi="宋体" w:cs="宋体"/>
                <w:kern w:val="0"/>
                <w:sz w:val="18"/>
                <w:szCs w:val="18"/>
              </w:rPr>
            </w:pPr>
            <w:r>
              <w:rPr>
                <w:rFonts w:ascii="宋体" w:hAnsi="宋体"/>
                <w:color w:val="000000"/>
                <w:sz w:val="18"/>
                <w:szCs w:val="18"/>
              </w:rPr>
              <w:t>重大项目投资专家咨询论证费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7　</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7</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autoSpaceDN w:val="0"/>
              <w:jc w:val="left"/>
              <w:textAlignment w:val="top"/>
              <w:rPr>
                <w:rFonts w:ascii="宋体" w:hAnsi="宋体" w:cs="宋体"/>
                <w:kern w:val="0"/>
                <w:sz w:val="18"/>
                <w:szCs w:val="18"/>
              </w:rPr>
            </w:pPr>
            <w:r>
              <w:rPr>
                <w:rFonts w:ascii="宋体" w:hAnsi="宋体"/>
                <w:color w:val="000000"/>
                <w:sz w:val="18"/>
                <w:szCs w:val="18"/>
              </w:rPr>
              <w:br w:type="textWrapping"/>
            </w:r>
            <w:r>
              <w:rPr>
                <w:rFonts w:ascii="宋体" w:hAnsi="宋体"/>
                <w:color w:val="000000"/>
                <w:sz w:val="18"/>
                <w:szCs w:val="18"/>
              </w:rPr>
              <w:t>根据监管企业上报需要审核的重大项目情况，全年共开展4次专家论证，计划每季度开展1次，每次参与论证专家不少于7人，每次需支出专家咨询费17500元(含论证场地费、专家咨询费、往返交通费、论证资料费、食宿费等)，4次共计70000元。</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完成专题研究报告数量4篇</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当年完成专题研究报告4篇</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18"/>
                <w:szCs w:val="18"/>
              </w:rPr>
            </w:pPr>
            <w:r>
              <w:rPr>
                <w:rFonts w:ascii="宋体" w:hAnsi="宋体"/>
                <w:color w:val="000000"/>
                <w:sz w:val="18"/>
                <w:szCs w:val="18"/>
              </w:rPr>
              <w:t>0</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18"/>
                <w:szCs w:val="18"/>
              </w:rPr>
            </w:pP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18"/>
                <w:szCs w:val="18"/>
              </w:rPr>
            </w:pPr>
            <w:r>
              <w:rPr>
                <w:rFonts w:ascii="宋体" w:hAnsi="宋体"/>
                <w:color w:val="000000"/>
                <w:sz w:val="18"/>
                <w:szCs w:val="18"/>
              </w:rPr>
              <w:t>上报建议和意见4条</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18"/>
                <w:szCs w:val="18"/>
              </w:rPr>
            </w:pPr>
            <w:r>
              <w:rPr>
                <w:rFonts w:ascii="宋体" w:hAnsi="宋体"/>
                <w:color w:val="000000"/>
                <w:sz w:val="18"/>
                <w:szCs w:val="18"/>
              </w:rPr>
              <w:t>提出合理化建议4条</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18"/>
                <w:szCs w:val="18"/>
              </w:rPr>
            </w:pPr>
            <w:r>
              <w:rPr>
                <w:rFonts w:ascii="宋体" w:hAnsi="宋体"/>
                <w:color w:val="000000"/>
                <w:sz w:val="18"/>
                <w:szCs w:val="18"/>
              </w:rPr>
              <w:t>完成调研报告4篇</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18"/>
                <w:szCs w:val="18"/>
              </w:rPr>
            </w:pPr>
            <w:r>
              <w:rPr>
                <w:rFonts w:ascii="宋体" w:hAnsi="宋体"/>
                <w:color w:val="000000"/>
                <w:sz w:val="18"/>
                <w:szCs w:val="18"/>
              </w:rPr>
              <w:t>当年完成调研报告数量为4篇，</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18"/>
                <w:szCs w:val="18"/>
              </w:rPr>
            </w:pPr>
            <w:r>
              <w:rPr>
                <w:rFonts w:ascii="宋体" w:hAnsi="宋体"/>
                <w:color w:val="000000"/>
                <w:sz w:val="18"/>
                <w:szCs w:val="18"/>
              </w:rPr>
              <w:t>完成专题研究报告数量4篇</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18"/>
                <w:szCs w:val="18"/>
              </w:rPr>
            </w:pPr>
            <w:r>
              <w:rPr>
                <w:rFonts w:ascii="宋体" w:hAnsi="宋体"/>
                <w:color w:val="000000"/>
                <w:sz w:val="18"/>
                <w:szCs w:val="18"/>
              </w:rPr>
              <w:t>当年完成专题研究报告4篇</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按时论证率100%</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按时论证的研究数量占研究总数的比率为100%</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研究成果评审合格率100%</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进行论证的研究成果数量占研究数量的比率为100%</w:t>
            </w:r>
          </w:p>
        </w:tc>
      </w:tr>
      <w:tr>
        <w:tblPrEx>
          <w:tblLayout w:type="fixed"/>
          <w:tblCellMar>
            <w:top w:w="0" w:type="dxa"/>
            <w:left w:w="108" w:type="dxa"/>
            <w:bottom w:w="0" w:type="dxa"/>
            <w:right w:w="108" w:type="dxa"/>
          </w:tblCellMar>
        </w:tblPrEx>
        <w:trPr>
          <w:trHeight w:val="462"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32"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达到预期成果应用率100%</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预期应用率占总数的比率为100%</w:t>
            </w:r>
          </w:p>
        </w:tc>
      </w:tr>
      <w:tr>
        <w:tblPrEx>
          <w:tblLayout w:type="fixed"/>
          <w:tblCellMar>
            <w:top w:w="0" w:type="dxa"/>
            <w:left w:w="108" w:type="dxa"/>
            <w:bottom w:w="0" w:type="dxa"/>
            <w:right w:w="108" w:type="dxa"/>
          </w:tblCellMar>
        </w:tblPrEx>
        <w:trPr>
          <w:trHeight w:val="283"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意见建议采纳率100%</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ascii="宋体" w:hAnsi="宋体"/>
                <w:color w:val="000000"/>
                <w:sz w:val="18"/>
                <w:szCs w:val="18"/>
              </w:rPr>
              <w:t>进行论证后被采纳的意见数量占总数量的比率为100%，达到预期效果</w:t>
            </w:r>
          </w:p>
        </w:tc>
      </w:tr>
      <w:tr>
        <w:tblPrEx>
          <w:tblLayout w:type="fixed"/>
          <w:tblCellMar>
            <w:top w:w="0" w:type="dxa"/>
            <w:left w:w="108" w:type="dxa"/>
            <w:bottom w:w="0" w:type="dxa"/>
            <w:right w:w="108" w:type="dxa"/>
          </w:tblCellMar>
        </w:tblPrEx>
        <w:trPr>
          <w:trHeight w:val="283"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bl>
    <w:p>
      <w:pPr>
        <w:widowControl/>
        <w:spacing w:line="560" w:lineRule="exact"/>
        <w:ind w:firstLine="411" w:firstLineChars="196"/>
        <w:jc w:val="left"/>
        <w:sectPr>
          <w:pgSz w:w="16838" w:h="11906" w:orient="landscape"/>
          <w:pgMar w:top="397" w:right="2098" w:bottom="227" w:left="1928" w:header="851" w:footer="992" w:gutter="0"/>
          <w:cols w:space="720" w:num="1"/>
          <w:docGrid w:linePitch="312" w:charSpace="0"/>
        </w:sectPr>
      </w:pPr>
    </w:p>
    <w:p>
      <w:pPr>
        <w:widowControl/>
        <w:spacing w:line="560" w:lineRule="exact"/>
        <w:ind w:firstLine="630" w:firstLineChars="196"/>
        <w:jc w:val="left"/>
        <w:rPr>
          <w:rFonts w:ascii="楷体_GB2312" w:hAnsi="宋体" w:eastAsia="楷体_GB2312" w:cs="宋体"/>
          <w:b/>
          <w:kern w:val="0"/>
          <w:sz w:val="32"/>
          <w:szCs w:val="32"/>
        </w:rPr>
      </w:pPr>
    </w:p>
    <w:tbl>
      <w:tblPr>
        <w:tblStyle w:val="4"/>
        <w:tblW w:w="13973" w:type="dxa"/>
        <w:tblInd w:w="93" w:type="dxa"/>
        <w:tblLayout w:type="fixed"/>
        <w:tblCellMar>
          <w:top w:w="0" w:type="dxa"/>
          <w:left w:w="108" w:type="dxa"/>
          <w:bottom w:w="0" w:type="dxa"/>
          <w:right w:w="108" w:type="dxa"/>
        </w:tblCellMar>
      </w:tblPr>
      <w:tblGrid>
        <w:gridCol w:w="2195"/>
        <w:gridCol w:w="1857"/>
        <w:gridCol w:w="189"/>
        <w:gridCol w:w="1975"/>
        <w:gridCol w:w="1810"/>
        <w:gridCol w:w="1925"/>
        <w:gridCol w:w="249"/>
        <w:gridCol w:w="1132"/>
        <w:gridCol w:w="2641"/>
      </w:tblGrid>
      <w:tr>
        <w:tblPrEx>
          <w:tblLayout w:type="fixed"/>
          <w:tblCellMar>
            <w:top w:w="0" w:type="dxa"/>
            <w:left w:w="108" w:type="dxa"/>
            <w:bottom w:w="0" w:type="dxa"/>
            <w:right w:w="108" w:type="dxa"/>
          </w:tblCellMar>
        </w:tblPrEx>
        <w:trPr>
          <w:trHeight w:val="406" w:hRule="atLeast"/>
        </w:trPr>
        <w:tc>
          <w:tcPr>
            <w:tcW w:w="13973" w:type="dxa"/>
            <w:gridSpan w:val="9"/>
            <w:tcBorders>
              <w:top w:val="nil"/>
              <w:left w:val="nil"/>
              <w:bottom w:val="nil"/>
              <w:right w:val="nil"/>
            </w:tcBorders>
            <w:vAlign w:val="bottom"/>
          </w:tcPr>
          <w:p>
            <w:pPr>
              <w:widowControl/>
              <w:jc w:val="center"/>
              <w:outlineLvl w:val="1"/>
              <w:rPr>
                <w:rFonts w:ascii="宋体" w:hAnsi="宋体" w:cs="宋体"/>
                <w:b/>
                <w:bCs/>
                <w:kern w:val="0"/>
                <w:sz w:val="18"/>
                <w:szCs w:val="18"/>
              </w:rPr>
            </w:pPr>
            <w:r>
              <w:rPr>
                <w:rFonts w:hint="eastAsia" w:ascii="仿宋_GB2312" w:hAnsi="宋体" w:eastAsia="仿宋_GB2312"/>
                <w:b/>
                <w:kern w:val="0"/>
                <w:sz w:val="18"/>
                <w:szCs w:val="18"/>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4"/>
            <w:tcBorders>
              <w:top w:val="single" w:color="auto" w:sz="4" w:space="0"/>
              <w:left w:val="nil"/>
              <w:bottom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昌吉州国资委</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3"/>
            <w:tcBorders>
              <w:top w:val="single" w:color="auto" w:sz="4" w:space="0"/>
              <w:left w:val="nil"/>
              <w:bottom w:val="single" w:color="auto" w:sz="4" w:space="0"/>
              <w:right w:val="single" w:color="auto" w:sz="4" w:space="0"/>
            </w:tcBorders>
            <w:vAlign w:val="center"/>
          </w:tcPr>
          <w:p>
            <w:pPr>
              <w:autoSpaceDN w:val="0"/>
              <w:jc w:val="center"/>
              <w:textAlignment w:val="center"/>
              <w:rPr>
                <w:rFonts w:ascii="宋体" w:hAnsi="宋体" w:cs="宋体"/>
                <w:kern w:val="0"/>
                <w:sz w:val="18"/>
                <w:szCs w:val="18"/>
              </w:rPr>
            </w:pPr>
            <w:r>
              <w:rPr>
                <w:rFonts w:ascii="宋体" w:hAnsi="宋体"/>
                <w:color w:val="000000"/>
                <w:sz w:val="18"/>
                <w:szCs w:val="18"/>
              </w:rPr>
              <w:t>国资系统微信公众号专项资金</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c>
          <w:tcPr>
            <w:tcW w:w="181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3</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8"/>
            <w:tcBorders>
              <w:top w:val="nil"/>
              <w:left w:val="nil"/>
              <w:bottom w:val="single" w:color="000000" w:sz="4" w:space="0"/>
              <w:right w:val="single" w:color="000000" w:sz="4" w:space="0"/>
            </w:tcBorders>
          </w:tcPr>
          <w:p>
            <w:pPr>
              <w:autoSpaceDN w:val="0"/>
              <w:jc w:val="left"/>
              <w:textAlignment w:val="top"/>
              <w:rPr>
                <w:rFonts w:ascii="仿宋_GB2312" w:hAnsi="仿宋_GB2312" w:eastAsia="仿宋_GB2312" w:cs="仿宋_GB2312"/>
                <w:kern w:val="0"/>
                <w:sz w:val="18"/>
                <w:szCs w:val="18"/>
              </w:rPr>
            </w:pPr>
            <w:r>
              <w:rPr>
                <w:rFonts w:hint="eastAsia" w:ascii="仿宋_GB2312" w:hAnsi="仿宋_GB2312" w:eastAsia="仿宋_GB2312" w:cs="仿宋_GB2312"/>
                <w:color w:val="000000"/>
                <w:sz w:val="18"/>
                <w:szCs w:val="18"/>
              </w:rPr>
              <w:br w:type="textWrapping"/>
            </w:r>
            <w:r>
              <w:rPr>
                <w:rFonts w:hint="eastAsia" w:ascii="仿宋_GB2312" w:hAnsi="仿宋_GB2312" w:eastAsia="仿宋_GB2312" w:cs="仿宋_GB2312"/>
                <w:color w:val="000000"/>
                <w:sz w:val="18"/>
                <w:szCs w:val="18"/>
              </w:rPr>
              <w:t xml:space="preserve">为进一步加强国资信息工作的管理，使信息报送工作制度化，提高国资委信息质量，更好地为国资管理改革发展服务，为领导决策提供参考。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2046" w:type="dxa"/>
            <w:gridSpan w:val="2"/>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5959"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2046" w:type="dxa"/>
            <w:gridSpan w:val="2"/>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5959" w:type="dxa"/>
            <w:gridSpan w:val="4"/>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8"/>
                <w:szCs w:val="18"/>
              </w:rPr>
            </w:pPr>
            <w:r>
              <w:rPr>
                <w:rFonts w:hint="eastAsia" w:ascii="宋体" w:hAnsi="宋体" w:cs="宋体"/>
                <w:kern w:val="0"/>
                <w:sz w:val="18"/>
                <w:szCs w:val="18"/>
              </w:rPr>
              <w:t>年缴费3万元　</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每年签订合同后付款3万元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046" w:type="dxa"/>
            <w:gridSpan w:val="2"/>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5959"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每年续签合同</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签订时间为1年</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046"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59"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046" w:type="dxa"/>
            <w:gridSpan w:val="2"/>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5959"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kern w:val="0"/>
                <w:sz w:val="18"/>
                <w:szCs w:val="18"/>
              </w:rPr>
            </w:pPr>
            <w:r>
              <w:rPr>
                <w:rFonts w:hint="eastAsia" w:ascii="仿宋_GB2312" w:hAnsi="仿宋_GB2312" w:eastAsia="仿宋_GB2312" w:cs="仿宋_GB2312"/>
                <w:color w:val="000000"/>
                <w:sz w:val="18"/>
                <w:szCs w:val="18"/>
              </w:rPr>
              <w:t>开展微信宣传专栏5个</w:t>
            </w: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kern w:val="0"/>
                <w:sz w:val="18"/>
                <w:szCs w:val="18"/>
              </w:rPr>
            </w:pPr>
            <w:r>
              <w:rPr>
                <w:rFonts w:hint="eastAsia" w:ascii="仿宋_GB2312" w:hAnsi="仿宋_GB2312" w:eastAsia="仿宋_GB2312" w:cs="仿宋_GB2312"/>
                <w:color w:val="000000"/>
                <w:sz w:val="18"/>
                <w:szCs w:val="18"/>
              </w:rPr>
              <w:t>微信平台在新闻媒体开办宣传专栏的数量5个</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046"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59"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组织参观学习的人次500余人</w:t>
            </w: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自微信平台建立以来组织前往宣传教育基地参观的人数达500余人</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046"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59"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组织宣传活动20次</w:t>
            </w: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为了达到建立平台效果组织宣传活动达20余次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046"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59"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0</w:t>
            </w: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046"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59"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0</w:t>
            </w: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046"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59"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kern w:val="0"/>
                <w:sz w:val="18"/>
                <w:szCs w:val="18"/>
              </w:rPr>
            </w:pPr>
            <w:r>
              <w:rPr>
                <w:rFonts w:hint="eastAsia" w:ascii="仿宋_GB2312" w:hAnsi="仿宋_GB2312" w:eastAsia="仿宋_GB2312" w:cs="仿宋_GB2312"/>
                <w:color w:val="000000"/>
                <w:sz w:val="18"/>
                <w:szCs w:val="18"/>
              </w:rPr>
              <w:t>稿件原创率100%</w:t>
            </w: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kern w:val="0"/>
                <w:sz w:val="18"/>
                <w:szCs w:val="18"/>
              </w:rPr>
            </w:pPr>
            <w:r>
              <w:rPr>
                <w:rFonts w:hint="eastAsia" w:ascii="仿宋_GB2312" w:hAnsi="仿宋_GB2312" w:eastAsia="仿宋_GB2312" w:cs="仿宋_GB2312"/>
                <w:color w:val="000000"/>
                <w:sz w:val="18"/>
                <w:szCs w:val="18"/>
              </w:rPr>
              <w:t>原创稿件发表占全部发表稿件的比率的100%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046"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59"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kern w:val="0"/>
                <w:sz w:val="18"/>
                <w:szCs w:val="18"/>
              </w:rPr>
            </w:pPr>
            <w:r>
              <w:rPr>
                <w:rFonts w:hint="eastAsia" w:ascii="仿宋_GB2312" w:hAnsi="仿宋_GB2312" w:eastAsia="仿宋_GB2312" w:cs="仿宋_GB2312"/>
                <w:color w:val="000000"/>
                <w:sz w:val="18"/>
                <w:szCs w:val="18"/>
              </w:rPr>
              <w:t>指导首发率100%</w:t>
            </w: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kern w:val="0"/>
                <w:sz w:val="18"/>
                <w:szCs w:val="18"/>
              </w:rPr>
            </w:pPr>
            <w:r>
              <w:rPr>
                <w:rFonts w:hint="eastAsia" w:ascii="仿宋_GB2312" w:hAnsi="仿宋_GB2312" w:eastAsia="仿宋_GB2312" w:cs="仿宋_GB2312"/>
                <w:color w:val="000000"/>
                <w:sz w:val="18"/>
                <w:szCs w:val="18"/>
              </w:rPr>
              <w:t>首发的报导占所有报导的比率是100%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046"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59"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kern w:val="0"/>
                <w:sz w:val="18"/>
                <w:szCs w:val="18"/>
              </w:rPr>
            </w:pPr>
            <w:r>
              <w:rPr>
                <w:rFonts w:hint="eastAsia" w:ascii="仿宋_GB2312" w:hAnsi="仿宋_GB2312" w:eastAsia="仿宋_GB2312" w:cs="仿宋_GB2312"/>
                <w:color w:val="000000"/>
                <w:sz w:val="18"/>
                <w:szCs w:val="18"/>
              </w:rPr>
              <w:t>在媒体播发稿件52篇</w:t>
            </w: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仿宋_GB2312" w:hAnsi="仿宋_GB2312" w:eastAsia="仿宋_GB2312" w:cs="仿宋_GB2312"/>
                <w:kern w:val="0"/>
                <w:sz w:val="18"/>
                <w:szCs w:val="18"/>
              </w:rPr>
            </w:pPr>
            <w:r>
              <w:rPr>
                <w:rFonts w:hint="eastAsia" w:ascii="仿宋_GB2312" w:hAnsi="仿宋_GB2312" w:eastAsia="仿宋_GB2312" w:cs="仿宋_GB2312"/>
                <w:color w:val="000000"/>
                <w:sz w:val="18"/>
                <w:szCs w:val="18"/>
              </w:rPr>
              <w:t>微信平台建立以来总计在媒体播发稿件52篇，做了很好的宣传作用</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046" w:type="dxa"/>
            <w:gridSpan w:val="2"/>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5959"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046"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59"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462"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2046" w:type="dxa"/>
            <w:gridSpan w:val="2"/>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5959"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046"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59"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32"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046" w:type="dxa"/>
            <w:gridSpan w:val="2"/>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5959"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046"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59"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046" w:type="dxa"/>
            <w:gridSpan w:val="2"/>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5959"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hint="eastAsia" w:ascii="宋体" w:hAnsi="宋体" w:cs="宋体"/>
                <w:kern w:val="0"/>
                <w:sz w:val="18"/>
                <w:szCs w:val="18"/>
              </w:rPr>
              <w:t>及时了解宣传信息</w:t>
            </w: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r>
              <w:rPr>
                <w:rFonts w:hint="eastAsia" w:ascii="宋体" w:hAnsi="宋体" w:cs="宋体"/>
                <w:kern w:val="0"/>
                <w:sz w:val="18"/>
                <w:szCs w:val="18"/>
              </w:rPr>
              <w:t>扩大信息宣传力量</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046"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59" w:type="dxa"/>
            <w:gridSpan w:val="4"/>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046" w:type="dxa"/>
            <w:gridSpan w:val="2"/>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5959"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046"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59"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2046" w:type="dxa"/>
            <w:gridSpan w:val="2"/>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5959"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满意度100%</w:t>
            </w: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达到效果满意率100%</w:t>
            </w:r>
          </w:p>
        </w:tc>
      </w:tr>
    </w:tbl>
    <w:p>
      <w:pPr>
        <w:widowControl/>
        <w:spacing w:line="560" w:lineRule="exact"/>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 xml:space="preserve"> （五）其他需说明的事项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无</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昌吉回族自治州国有资产监督管理委员会</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 xml:space="preserve"> 1 </w:t>
      </w:r>
      <w:r>
        <w:rPr>
          <w:rFonts w:ascii="仿宋_GB2312" w:hAnsi="宋体" w:eastAsia="仿宋_GB2312" w:cs="宋体"/>
          <w:kern w:val="0"/>
          <w:sz w:val="32"/>
          <w:szCs w:val="32"/>
        </w:rPr>
        <w:t>月</w:t>
      </w:r>
      <w:r>
        <w:rPr>
          <w:rFonts w:hint="eastAsia" w:ascii="仿宋_GB2312" w:hAnsi="宋体" w:eastAsia="仿宋_GB2312" w:cs="宋体"/>
          <w:kern w:val="0"/>
          <w:sz w:val="32"/>
          <w:szCs w:val="32"/>
        </w:rPr>
        <w:t xml:space="preserve">  31</w:t>
      </w:r>
      <w:r>
        <w:rPr>
          <w:rFonts w:ascii="仿宋_GB2312" w:hAnsi="宋体" w:eastAsia="仿宋_GB2312" w:cs="宋体"/>
          <w:kern w:val="0"/>
          <w:sz w:val="32"/>
          <w:szCs w:val="32"/>
        </w:rPr>
        <w:t>日</w:t>
      </w:r>
    </w:p>
    <w:p/>
    <w:p/>
    <w:sectPr>
      <w:pgSz w:w="16838" w:h="11906" w:orient="landscape"/>
      <w:pgMar w:top="397" w:right="2098" w:bottom="227" w:left="192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t>27</w:t>
    </w:r>
    <w:r>
      <w:rPr>
        <w:rFonts w:ascii="宋体" w:hAnsi="宋体" w:eastAsia="宋体"/>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t>- 12 -</w:t>
    </w:r>
    <w:r>
      <w:rPr>
        <w:rFonts w:ascii="宋体" w:hAnsi="宋体" w:eastAsia="宋体"/>
        <w:sz w:val="28"/>
        <w:szCs w:val="28"/>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HorizontalSpacing w:val="210"/>
  <w:drawingGridVerticalSpacing w:val="156"/>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wNTdkZmUxMjVlOTRkZTdmOTI5NDJiMjc2MGY0NDgifQ=="/>
  </w:docVars>
  <w:rsids>
    <w:rsidRoot w:val="005922E9"/>
    <w:rsid w:val="003B1ED1"/>
    <w:rsid w:val="003D4E60"/>
    <w:rsid w:val="00415BDA"/>
    <w:rsid w:val="005922E9"/>
    <w:rsid w:val="006956DC"/>
    <w:rsid w:val="00720A41"/>
    <w:rsid w:val="008C5651"/>
    <w:rsid w:val="009B4B01"/>
    <w:rsid w:val="00C352FC"/>
    <w:rsid w:val="00C60EAD"/>
    <w:rsid w:val="00DA0351"/>
    <w:rsid w:val="00DC5320"/>
    <w:rsid w:val="00E622F5"/>
    <w:rsid w:val="00F96F0A"/>
    <w:rsid w:val="34F256A6"/>
    <w:rsid w:val="44EB3C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18"/>
    <w:qFormat/>
    <w:uiPriority w:val="0"/>
    <w:pPr>
      <w:tabs>
        <w:tab w:val="center" w:pos="4153"/>
        <w:tab w:val="right" w:pos="8306"/>
      </w:tabs>
      <w:snapToGrid w:val="0"/>
      <w:jc w:val="left"/>
    </w:pPr>
    <w:rPr>
      <w:rFonts w:eastAsia="黑体"/>
      <w:snapToGrid w:val="0"/>
      <w:kern w:val="0"/>
      <w:sz w:val="18"/>
      <w:szCs w:val="18"/>
    </w:rPr>
  </w:style>
  <w:style w:type="paragraph" w:styleId="3">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character" w:styleId="6">
    <w:name w:val="Strong"/>
    <w:qFormat/>
    <w:uiPriority w:val="0"/>
    <w:rPr>
      <w:rFonts w:cs="Times New Roman"/>
      <w:b/>
      <w:bCs/>
    </w:rPr>
  </w:style>
  <w:style w:type="character" w:customStyle="1" w:styleId="7">
    <w:name w:val="正文文本缩进 3 Char"/>
    <w:link w:val="8"/>
    <w:semiHidden/>
    <w:qFormat/>
    <w:uiPriority w:val="0"/>
    <w:rPr>
      <w:rFonts w:ascii="Times New Roman" w:hAnsi="Times New Roman" w:eastAsia="仿宋_GB2312" w:cs="Times New Roman"/>
      <w:sz w:val="32"/>
      <w:szCs w:val="24"/>
    </w:rPr>
  </w:style>
  <w:style w:type="paragraph" w:customStyle="1" w:styleId="8">
    <w:name w:val="正文文本缩进 31"/>
    <w:basedOn w:val="1"/>
    <w:link w:val="7"/>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9">
    <w:name w:val="模板普通正文"/>
    <w:basedOn w:val="10"/>
    <w:qFormat/>
    <w:uiPriority w:val="0"/>
    <w:pPr>
      <w:spacing w:beforeLines="50" w:after="10"/>
      <w:ind w:firstLine="490" w:firstLineChars="175"/>
    </w:pPr>
    <w:rPr>
      <w:kern w:val="2"/>
    </w:rPr>
  </w:style>
  <w:style w:type="paragraph" w:customStyle="1" w:styleId="10">
    <w:name w:val="正文文本缩进1"/>
    <w:basedOn w:val="1"/>
    <w:qFormat/>
    <w:uiPriority w:val="0"/>
    <w:pPr>
      <w:spacing w:line="360" w:lineRule="auto"/>
      <w:ind w:firstLine="480" w:firstLineChars="200"/>
    </w:pPr>
    <w:rPr>
      <w:kern w:val="28"/>
    </w:rPr>
  </w:style>
  <w:style w:type="paragraph" w:customStyle="1" w:styleId="11">
    <w:name w:val="批注框文本 Char Char"/>
    <w:basedOn w:val="1"/>
    <w:link w:val="19"/>
    <w:qFormat/>
    <w:uiPriority w:val="0"/>
    <w:rPr>
      <w:sz w:val="18"/>
      <w:szCs w:val="18"/>
    </w:rPr>
  </w:style>
  <w:style w:type="paragraph" w:customStyle="1" w:styleId="12">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3">
    <w:name w:val="列出段落1"/>
    <w:basedOn w:val="1"/>
    <w:qFormat/>
    <w:uiPriority w:val="0"/>
    <w:pPr>
      <w:ind w:firstLine="420" w:firstLineChars="200"/>
    </w:pPr>
    <w:rPr>
      <w:rFonts w:ascii="Calibri" w:hAnsi="Calibri"/>
      <w:szCs w:val="22"/>
    </w:rPr>
  </w:style>
  <w:style w:type="paragraph" w:customStyle="1" w:styleId="14">
    <w:name w:val="普通(网站)1"/>
    <w:basedOn w:val="1"/>
    <w:qFormat/>
    <w:uiPriority w:val="0"/>
    <w:rPr>
      <w:rFonts w:ascii="Calibri" w:hAnsi="Calibri" w:cs="黑体"/>
      <w:sz w:val="24"/>
    </w:rPr>
  </w:style>
  <w:style w:type="paragraph" w:customStyle="1" w:styleId="15">
    <w:name w:val="普通(网站)2"/>
    <w:basedOn w:val="1"/>
    <w:uiPriority w:val="0"/>
    <w:rPr>
      <w:rFonts w:ascii="Calibri" w:hAnsi="Calibri" w:cs="黑体"/>
      <w:sz w:val="24"/>
    </w:rPr>
  </w:style>
  <w:style w:type="paragraph" w:customStyle="1" w:styleId="16">
    <w:name w:val="普通(网站)3"/>
    <w:basedOn w:val="1"/>
    <w:uiPriority w:val="0"/>
    <w:rPr>
      <w:rFonts w:ascii="Calibri" w:hAnsi="Calibri" w:cs="黑体"/>
      <w:sz w:val="24"/>
    </w:rPr>
  </w:style>
  <w:style w:type="character" w:customStyle="1" w:styleId="17">
    <w:name w:val="页眉 Char"/>
    <w:link w:val="3"/>
    <w:semiHidden/>
    <w:uiPriority w:val="0"/>
    <w:rPr>
      <w:rFonts w:ascii="Times New Roman" w:hAnsi="Times New Roman" w:eastAsia="宋体" w:cs="Times New Roman"/>
      <w:sz w:val="18"/>
      <w:szCs w:val="18"/>
    </w:rPr>
  </w:style>
  <w:style w:type="character" w:customStyle="1" w:styleId="18">
    <w:name w:val="页脚 Char"/>
    <w:link w:val="2"/>
    <w:semiHidden/>
    <w:uiPriority w:val="0"/>
    <w:rPr>
      <w:rFonts w:ascii="Times New Roman" w:hAnsi="Times New Roman" w:eastAsia="黑体" w:cs="Times New Roman"/>
      <w:snapToGrid w:val="0"/>
      <w:kern w:val="0"/>
      <w:sz w:val="18"/>
      <w:szCs w:val="18"/>
    </w:rPr>
  </w:style>
  <w:style w:type="character" w:customStyle="1" w:styleId="19">
    <w:name w:val="批注框文本 Char Char Char Char"/>
    <w:link w:val="11"/>
    <w:semiHidden/>
    <w:uiPriority w:val="0"/>
    <w:rPr>
      <w:rFonts w:ascii="Times New Roman" w:hAnsi="Times New Roman" w:eastAsia="宋体" w:cs="Times New Roman"/>
      <w:sz w:val="18"/>
      <w:szCs w:val="18"/>
    </w:rPr>
  </w:style>
  <w:style w:type="character" w:customStyle="1" w:styleId="20">
    <w:name w:val="页码1"/>
    <w:basedOn w:val="5"/>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32</Pages>
  <Words>2595</Words>
  <Characters>14798</Characters>
  <Lines>123</Lines>
  <Paragraphs>34</Paragraphs>
  <TotalTime>2</TotalTime>
  <ScaleCrop>false</ScaleCrop>
  <LinksUpToDate>false</LinksUpToDate>
  <CharactersWithSpaces>17359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2021-06-02T12:59:00Z</dcterms:created>
  <dc:creator>王怡</dc:creator>
  <cp:lastModifiedBy>1</cp:lastModifiedBy>
  <cp:lastPrinted>2021-05-27T18:56:00Z</cp:lastPrinted>
  <dcterms:modified xsi:type="dcterms:W3CDTF">2025-02-10T11:07:57Z</dcterms:modified>
  <dc:title>闫超</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8780885478D0417AB58D4A560FBD2D2B_12</vt:lpwstr>
  </property>
</Properties>
</file>