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昌吉州发展和改革委员会2021年预算公开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昌吉州发展和改革委员会概况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一、昌吉州发展和改革委员会收支总体情况表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二、昌吉州发展和改革委员会收入总体情况表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三、昌吉州发展和改革委员会支出总体情况表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一、关于昌吉州发展和改革委员会2021年收支预算情况的总体说明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二、关于昌吉州发展和改革委员会2021年收入预算情况说明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三、关于昌吉州发展和改革委员会2021年支出预算情况说明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昌吉州发展和改革委员会2021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五、关于昌吉州发展和改革委员会2021年一般公共预算当年拨款情况说明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六、关于昌吉州发展和改革委员会2021年一般公共预算基本支出情况说明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七、关于昌吉州发展和改革委员会2021年一般公共预算项目支出情况说明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八、关于昌吉州发展和改革委员会2021年一般公共预算“三公”经费预算情况说明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九、关于昌吉州发展和改革委员会2021年政府性基金预算拨款情况说明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昌吉州发展和改革委员会单位概况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一）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县市（园区）及主要行业的规划；受自治州人民政府委托向自治州人大提交国民经济和社会发展计划的报告。</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二）负责监测宏观经济和社会发展态势，承担预测预警和信息引导的责任。提出促进自治州经济高质量发展的政策建议；研究涉及自治州经济安全及总体产业安全等重要问题并提出政策措施和建议；负责自治州国民经济动员办公室的工作。</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三）汇总分析自治州财政、金融、产业、价格政策等方面的情况和执行效果，提出建议；拟订并组织实施价格政策；制定和调整政府管理的重要商品价格、服务价格和收费标准。发布重大价格信息，规范市场价格行为等。</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四）承担综合协调经济体制改革的责任。研究制定自治州经济体制改革和对外开放的重大问题，组织拟订自治州综合性经济体制改革方案，协调有关专项经济体制改革方案；组织制定区域经济协调发展规划和政策；推进西部大开发战略和重大政策的实施；推进自治州城镇化建设。</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五）承担规划重大建设项目和生产力布局的责任。研究提出自治州全社会固定资产投资总规模和投资方向，规划重点项目和生产力布局；负责自治州重点项目的管理和组织协调；按照管理权限，负责审核上报、审批、核准、备案固定资产投资项目，审查、审批项目初步设计;组织实施自治州固定资产投资项目节能评估审查工作;指导和协调自治州招投标工作，负责重点项目招投标活动有关监督管理工作。</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六）推进产业结构调整和升级。组织拟订自治州综合性产业政策，负责协调第一、二、三产业发展的重大问题，做好与国民经济和社会发展规划、计划的衔接平衡；提出自治州国民经济重要产业的发展战略和规划，组织审核上报、审批专项规划；研究并协调农业和农村经济社会发展的有关重大问题，衔接农村专项规划和政策；拟订并实施以工代赈规划和计划；研究提出能源发展战略、规划；负责权限内自治州能源（电力、油气管道、煤矿）安全的监督管理；组织拟订高技术产业发展、产业技术进步的战略、规划和政策，推动高技术产业化发展；规划、指导服务业的建设与发展。</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七）研究提出自治州利用外资的发展战略、总量平衡和结构优化的目标和政策并监测运行情况；按照管理权限，负责审核上报、审批、核准、备案国外贷款项目、外商直接投资项目和境外投资项目;会同有关部门协调和审查利用重大内外资项目。</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八）承担自治州重要商品的总量平衡和宏观调控的责任。研究提出地方储备粮油和物资储备规划、储备品种目录的建议;负责组织实施粮油、棉花、食糖、食盐等重要商品储备、轮换和投放计划;组织实施地方储备粮油、棉花、食糖、食盐等物资的储备、轮换和日常管理;按要求承担各级救灾物资采购和储备管理工作，落实有关动用计划和指令。承担粮食监测预警和应急责任；负责粮食流通行政管理、行业指导。</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九）负责自治州社会发展与国民经济发展的政策衔接，组织拟订社会发展战略，总体规划和年度计划；参与拟定自治州人口和计划生育、科学技术、教育、文化、卫生、民政等社会事业发展政策，协调自治州社会事业发展的重大问题；研究提出促进就业、调整收入分配、完善社会保障与经济协调发展的措施和建议。</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十）推进可持续发展战略，负责自治州全社会节能综合协调工作。会同有关部门研究提出自治州生态建设、环境保护规划、资源节约综合利用规划和计划，协调生态建设、环保产业和资源节约综合利用的重大问题。</w:t>
      </w:r>
    </w:p>
    <w:p>
      <w:pPr>
        <w:ind w:firstLine="640" w:firstLineChars="200"/>
        <w:rPr>
          <w:rFonts w:ascii="仿宋_GB2312" w:hAnsi="宋体" w:eastAsia="仿宋_GB2312" w:cs="宋体"/>
          <w:bCs/>
          <w:kern w:val="0"/>
          <w:sz w:val="32"/>
          <w:szCs w:val="32"/>
        </w:rPr>
      </w:pPr>
      <w:r>
        <w:rPr>
          <w:rFonts w:hint="eastAsia" w:ascii="仿宋_GB2312" w:hAnsi="黑体" w:eastAsia="仿宋_GB2312" w:cs="宋体"/>
          <w:bCs/>
          <w:kern w:val="0"/>
          <w:sz w:val="32"/>
          <w:szCs w:val="32"/>
        </w:rPr>
        <w:t>（十一）完成自治州党委、自治州人民政府交办的其他任务。</w:t>
      </w: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发展和改革委员会</w:t>
      </w:r>
      <w:r>
        <w:rPr>
          <w:rFonts w:hint="eastAsia" w:ascii="仿宋_GB2312" w:hAnsi="黑体" w:eastAsia="仿宋_GB2312" w:cs="宋体"/>
          <w:bCs/>
          <w:kern w:val="0"/>
          <w:sz w:val="32"/>
          <w:szCs w:val="32"/>
        </w:rPr>
        <w:t>有下属预算单位10个，下设18个处室，分别是：办公室、组织人事科（法规科）、综合业务科、固定资产投资科、重点项目管理科、工业交通科、能源发展科、服务业发展科、社会发展科、经济贸易科、农业发展科、技术质量科、价格管理科、收费管理科、粮食物资产业科、粮食物资储备科、安全监管科、安全技术培训科</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发展和改革委员会</w:t>
      </w:r>
      <w:r>
        <w:rPr>
          <w:rFonts w:hint="eastAsia" w:ascii="仿宋_GB2312" w:hAnsi="宋体" w:eastAsia="仿宋_GB2312" w:cs="宋体"/>
          <w:kern w:val="0"/>
          <w:sz w:val="32"/>
          <w:szCs w:val="32"/>
        </w:rPr>
        <w:t>编制数71人，实有人数160人，其中：在职63人，减少2人； 退休96人，增加3人；离休1人，增加（或减少）0人。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p>
    <w:p>
      <w:pPr>
        <w:widowControl/>
        <w:spacing w:line="44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昌吉州发展和改革委员会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2042.60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1797.88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2042.60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87.30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157.42</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2042.60</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2042.60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编制部门（单位）：昌吉州发展和改革委员会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938.88</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938.88</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一般行政管理事务　</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684.00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684.00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社会事业发展规划</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175.00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175.00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87.30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87.30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118.57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118.57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11 </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99 </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2042.60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2042.60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编制部门（单位）：昌吉州发展和改革委员会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938.88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938.88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一般行政管理事务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684.00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684.00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社会事业发展规划</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175.00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175.00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87.30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87.30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118.57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118.57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38.61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38.61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 xml:space="preserve">11 </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 xml:space="preserve">99 </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0.24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0.24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2042.60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1183.60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859.00</w:t>
            </w:r>
          </w:p>
        </w:tc>
      </w:tr>
    </w:tbl>
    <w:p>
      <w:pPr>
        <w:widowControl/>
        <w:spacing w:before="156"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编制部门（单位）：昌吉州发展和改革委员会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2042.60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1797.88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1797.88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2042.60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87.30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87.30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157.42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157.42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2042.60</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2042.60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2042.60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编制部门（单位）：昌吉州发展和改革委员会</w:t>
            </w:r>
          </w:p>
        </w:tc>
        <w:tc>
          <w:tcPr>
            <w:tcW w:w="660" w:type="dxa"/>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eastAsia="仿宋_GB2312"/>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938.88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938.88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一般行政管理事务　</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684.00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684.00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社会事业发展规划</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175.00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175.00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87.30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87.30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118.57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 xml:space="preserve">11 </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 xml:space="preserve">99 </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2042.60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1183.60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859.00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编制部门：昌吉州发展和改革委员会</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341.02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341.02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166.46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03</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23.61</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06</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81.90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81.90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08</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87.30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87.30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10</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118.57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11</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12</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13</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65.47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65.47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99</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20.73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06</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08</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11</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20.00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16</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17</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公务招待费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28</w:t>
            </w:r>
          </w:p>
        </w:tc>
        <w:tc>
          <w:tcPr>
            <w:tcW w:w="289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eastAsia="仿宋_GB2312"/>
                <w:color w:val="00000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29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31</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99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92.82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92.82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05</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遗属生活补助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离休遗孀医疗补助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09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独生子女奖励金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14</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hint="eastAsia" w:ascii="仿宋_GB2312" w:eastAsia="仿宋_GB2312"/>
                <w:color w:val="00000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p>
        </w:tc>
        <w:tc>
          <w:tcPr>
            <w:tcW w:w="577"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1183.60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984.52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199.08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480"/>
        <w:gridCol w:w="397"/>
        <w:gridCol w:w="461"/>
        <w:gridCol w:w="857"/>
        <w:gridCol w:w="1971"/>
        <w:gridCol w:w="493"/>
        <w:gridCol w:w="439"/>
        <w:gridCol w:w="515"/>
        <w:gridCol w:w="439"/>
        <w:gridCol w:w="597"/>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5098"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编制部门（单位）：昌吉州发展和改革委员会</w:t>
            </w:r>
          </w:p>
        </w:tc>
        <w:tc>
          <w:tcPr>
            <w:tcW w:w="51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414"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6"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7"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971"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49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8"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1"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97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9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“信用昌吉”网站体系运行维护费12万元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昌吉回族自治州国民经济和社会发展“十四五”规划纲要汇编、重点专项规划汇编及相关资料印刷经费25万元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昌吉州发展和改革委员会部分搬迁、修缮及弱电改造项目30万元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昌吉州项目库信息管理系统运行维护费3万元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高质量发展研究经费20万元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建立昌吉州1000吨应急成品油储备项目50万元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建立昌吉州原粮储备费265万元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265</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265</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救灾物资储备专项经费18万元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18</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18</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粮食流通监督检查业务经费6万元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粮油质检中心提标改造经费30万元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粮油质量检测工作经费100万元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煤矿安全监管专项经费20万元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项目工作前期费（评审、验收费）100万元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州社会信用体系领导小组办公室业务经费5万元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社会事业发展规划</w:t>
            </w: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“十四五”规划纲要编制经费（第二笔）175万元</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175</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175</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461" w:type="dxa"/>
            <w:vAlign w:val="center"/>
          </w:tcPr>
          <w:p>
            <w:pPr>
              <w:widowControl/>
              <w:jc w:val="center"/>
              <w:outlineLvl w:val="1"/>
              <w:rPr>
                <w:rFonts w:ascii="仿宋_GB2312" w:hAnsi="宋体" w:eastAsia="仿宋_GB2312"/>
                <w:kern w:val="0"/>
                <w:sz w:val="18"/>
                <w:szCs w:val="18"/>
              </w:rPr>
            </w:pPr>
          </w:p>
        </w:tc>
        <w:tc>
          <w:tcPr>
            <w:tcW w:w="857" w:type="dxa"/>
            <w:vAlign w:val="center"/>
          </w:tcPr>
          <w:p>
            <w:pPr>
              <w:widowControl/>
              <w:jc w:val="center"/>
              <w:outlineLvl w:val="1"/>
              <w:rPr>
                <w:rFonts w:ascii="仿宋_GB2312" w:hAnsi="宋体" w:eastAsia="仿宋_GB2312"/>
                <w:kern w:val="0"/>
                <w:sz w:val="18"/>
                <w:szCs w:val="18"/>
              </w:rPr>
            </w:pPr>
          </w:p>
        </w:tc>
        <w:tc>
          <w:tcPr>
            <w:tcW w:w="197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49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859</w:t>
            </w:r>
          </w:p>
        </w:tc>
        <w:tc>
          <w:tcPr>
            <w:tcW w:w="439" w:type="dxa"/>
            <w:vAlign w:val="center"/>
          </w:tcPr>
          <w:p>
            <w:pPr>
              <w:widowControl/>
              <w:jc w:val="center"/>
              <w:outlineLvl w:val="1"/>
              <w:rPr>
                <w:rFonts w:ascii="仿宋_GB2312" w:hAnsi="宋体" w:eastAsia="仿宋_GB2312"/>
                <w:kern w:val="0"/>
                <w:sz w:val="18"/>
                <w:szCs w:val="18"/>
              </w:rPr>
            </w:pPr>
          </w:p>
        </w:tc>
        <w:tc>
          <w:tcPr>
            <w:tcW w:w="5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859</w:t>
            </w:r>
          </w:p>
        </w:tc>
        <w:tc>
          <w:tcPr>
            <w:tcW w:w="439" w:type="dxa"/>
            <w:vAlign w:val="center"/>
          </w:tcPr>
          <w:p>
            <w:pPr>
              <w:widowControl/>
              <w:jc w:val="center"/>
              <w:outlineLvl w:val="1"/>
              <w:rPr>
                <w:rFonts w:ascii="仿宋_GB2312" w:hAnsi="宋体" w:eastAsia="仿宋_GB2312"/>
                <w:kern w:val="0"/>
                <w:sz w:val="18"/>
                <w:szCs w:val="18"/>
              </w:rPr>
            </w:pPr>
          </w:p>
        </w:tc>
        <w:tc>
          <w:tcPr>
            <w:tcW w:w="597"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昌吉州发展和改革委员会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25.83</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22.04</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22.04</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编制部门（单位）：昌吉州发展和改革委员会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pPr>
    </w:p>
    <w:p>
      <w:pPr>
        <w:spacing w:line="560" w:lineRule="exact"/>
        <w:jc w:val="center"/>
        <w:rPr>
          <w:rFonts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2021年昌吉州发展和改革委员会预算情况说明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昌吉州发展和改革委员会2021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按照全口径预算的原则，昌吉州发展和改革委员会2021年所有收入和支出均纳入部门（单位）预算管理。收支总预算2042.60万元。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支出预算包括：一般公共服务支出、社会保障和就业支出、医疗卫生健康支出等。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昌吉州发展和改革委员会2021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昌吉州发展和改革委员会收入预算2042.62万元，其中：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2042.60万元，占100%，比上年增加711.12万元，主要原因：一是基本支出中人员经费增加；二是本年度增加了粮油质检中心提标改造经费、“十四五”规划纲要编制经费（第二笔）、建立昌吉州原粮储备费、建立昌吉州1000吨应急成品油储备项目、单位部分搬迁、修缮及弱电改造等项目，造成项目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昌吉州发展和改革委员会2021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昌吉州发展和改革委员会2021年支出预算2042.60万元，其中：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基本支出1183.60万元，占57.95%，比上年增加84.12万元，主要原因是人员经费和公用经费增加。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859.00万元，占42.05%，比上年增加627万元，主要原因是本年度增加了粮油质检中心提标改造经费、“十四五”规划纲要编制经费（第二笔）、建立昌吉州原粮储备费、建立昌吉州1000吨应急成品油储备项目、单位部分搬迁、修缮及弱电改造等项目。</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昌吉州昌吉州发展和改革委员会2021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2021年财政拨款收支总预算2042.60万元。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收入预算包括：一般公共预算拨款2042.60万元。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1797.88万元，主要用于行政单位（包括实行公务员管理的事业单位）的基本支出和项目支出；社会保障和就业支出87.30万元，用于行政事业单位养老方面的支出；卫生健康支出157.42万元，用于行政事业单位医疗、公务员医疗补助及其他行政事业单位医疗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昌吉州发展和改革委员会2021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2021年一般公共预算拨款合计2042.60万元，其中：基本支出1183.60万元，比上年预算增加84.12万元，增长7.65%。主要原因是：人员经费和公用经费增加。项目支出859.00万元，比上年预算增加627万元，增长270.26%。主要原因是：本年度增加了粮油质检中心提标改造经费、“十四五”规划纲要编制经费（第二笔）、建立昌吉州原粮储备费、建立昌吉州1000吨应急成品油储备项目、单位部分搬迁、修缮及弱电改造等项目。</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1.201一般公共服务支出1797.88万元，占88.02%。</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208</w:t>
      </w:r>
      <w:r>
        <w:rPr>
          <w:rFonts w:hint="eastAsia" w:ascii="仿宋_GB2312" w:hAnsi="宋体" w:eastAsia="仿宋_GB2312" w:cs="宋体"/>
          <w:spacing w:val="-6"/>
          <w:kern w:val="0"/>
          <w:sz w:val="32"/>
          <w:szCs w:val="32"/>
        </w:rPr>
        <w:t>社会保障和就业</w:t>
      </w:r>
      <w:r>
        <w:rPr>
          <w:rFonts w:hint="eastAsia" w:ascii="仿宋_GB2312" w:eastAsia="仿宋_GB2312"/>
          <w:sz w:val="32"/>
          <w:szCs w:val="32"/>
        </w:rPr>
        <w:t>支出87.30万元，占4.27%。</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3.210卫生健康支出157.42万元，占7.71%。</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发展与改革</w:t>
      </w:r>
      <w:r>
        <w:rPr>
          <w:rFonts w:ascii="仿宋_GB2312" w:hAnsi="宋体" w:eastAsia="仿宋_GB2312" w:cs="宋体"/>
          <w:kern w:val="0"/>
          <w:sz w:val="32"/>
          <w:szCs w:val="32"/>
        </w:rPr>
        <w:t>事务（款）行政运行（项）: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938.88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比上年预算数减少160.60万元，下降14.61%，主要原因是：减少了机关事业单位基本养老保险缴费支出、行政单位医疗、公务员医疗补助、其他行政事业单位医疗支出。</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发展与改革</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684.00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比上年预算数增加452.00万元，增长194.83%，主要原因是：本年度增加了粮油质检中心提标改造经费、建立昌吉州原粮储备费、建立昌吉州1000吨应急成品油储备项目、单位部分搬迁、修缮及弱电改造等项目。</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3.</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发展与改革</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社会事业发展规划</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175.00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比上年预算数增加175.00万元，增长100%，主要原因是：本年新增“十四五”规划纲要编制经费（第二笔）。</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4.社会保障和就业支出（类）行政事业单位养老支出（款）机关事业单位基本养老保险缴费支出（项）：2021年预算数为87.30万元，比上年预算数增加87.30万元，增长100%，主要原因是：本年度新增款项。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5.卫生健康支出（类）卫生健康管理事务（款）行政单位医疗（项）：2021年预算数为118.57万元，比上年预算数增加118.57万元，增长100%，主要原因是：本年度新增款项。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6.卫生健康支出（类）卫生健康管理事务（款）公务员医疗补助（项）：2021年预算数为38.61万元，比上年预算数增加38.61万元，增长100%，主要原因是：本年度新增款项。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7.卫生健康支出（类）卫生健康管理事务（款）其他行政事业单位医疗支出（项）：2021年预算数为0.24万元，比上年预算数增加0.24万元，增长100%，主要原因是：本年度新增款项。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昌吉州发展和改革委员会2021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昌吉州发展和改革委员会2021年一般公共预算基本支出1183.60万元，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984.52万元，主要包括：基本工资、津贴补贴、奖金、伙食补助费、绩效工资、机关事业单位基本养老保险缴费、职工基本医疗保险缴费、公务员医疗补助缴费、其他社会保障缴费、住房公积金、其他工资福利支出、离休费、生活补助、医疗费补助、奖励金、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公用经费199.08万元，主要包括：办公费、水费、电费、邮电费、取暖费、差旅费、培训费、公务接待费、工会经费、福利费、公务用车运行维护费、其他商品和服务支出、等。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七、关于昌吉州发展和改革委员会2021年一般公共预算项目支出情况说明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“信用昌吉”网站体系运行维护费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昌吉回族自治州国民经济和社会发展“十四五”规划纲要汇编、重点专项规划汇编及相关资料印刷经费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25万元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昌吉州发展和改革委员会部分搬迁、修缮及弱电改造项目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left="638" w:leftChars="304"/>
        <w:rPr>
          <w:rFonts w:ascii="仿宋_GB2312" w:hAnsi="宋体" w:eastAsia="仿宋_GB2312" w:cs="宋体"/>
          <w:kern w:val="0"/>
          <w:sz w:val="32"/>
          <w:szCs w:val="32"/>
        </w:rPr>
      </w:pPr>
      <w:r>
        <w:rPr>
          <w:rFonts w:hint="eastAsia" w:ascii="仿宋_GB2312" w:hAnsi="黑体" w:eastAsia="仿宋_GB2312"/>
          <w:sz w:val="32"/>
          <w:szCs w:val="32"/>
        </w:rPr>
        <w:t>4、项目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昌吉州项目库信息管理系统运行维护费</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3万元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5、项目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高质量发展研究经费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6、项目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建立昌吉州1000吨应急成品油储备项目</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7、项目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建立昌吉州原粮储备费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265万元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265万元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8、项目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救灾物资储备专项经费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18万元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18万元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9、项目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粮食流通监督检查业务经费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国家《粮食流通管理条例》</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10、项目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粮油质检中心提标改造经费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粮油质量检测工作经费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煤矿安全监管专项经费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项目工作前期费（评审、验收费）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14、项目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州社会信用体系领导小组办公室业务经费</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15、项目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“十四五”规划纲要编制经费（第二笔）</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：17</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昌吉州发展和改革委员会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：17</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2021年1月至2021年12月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八、关于昌吉州发展和改革委员会2021年一般公共预算“三公”经费预算情况说明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昌吉州发展和改革委员会2021年一般公共预算“三公”经费数为25.83万元，其中：因公出国（境）费0万元，公务用车购置0万元，公务用车运行费22.04万元，公务接待费3.79万元。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7.12万元，其中：因公出国（境）费增加（减少）0万元，主要原因是未安排预算；公务用车购置费为0万元，未安排预算。公务用车运行费增加4.12万元，主要原因是各项安全检查工作业务量增多及“访惠聚”、“民族团结一家亲”活动用车等；公务接待费增加3.00万元，主要原因是各地州、各县市、相关业务部门来指导、调研、交流情况较多。</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九、关于昌吉州发展和改革委员会2021年政府性基金预算拨款情况说明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昌吉州发展和改革委员会2021年没有使用政府性基金预算拨款安排的支出，政府性基金预算支出情况表为空表。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发展和改革委员会的机关运行经费财政拨款预算199.08万元，比上年预算增加60.25万元，增长43.39%。主要原因是我委承担着项目服务、煤炭及油气管道安全生产、粮食安全、价格、“访惠聚”及驻村管寺等工作、“民族团结一家亲”等群众工作保障任务，还承担了州党委、人民政府、自治区发改委、粮食和物资储备局交办的多项工作，产生了大量的运行成本。</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2021年，昌吉州发展和改革委员会政府采购预算348.72万元，其中：政府采购货物预算124.32万元，政府采购工程预算30.00万元，政府采购服务预算194.40万元。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截至2020年底，昌吉州发展和改革委员会占用使用国有资产总体情况为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1.房屋7174.31平方米，价值587.06万元。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2.车辆17辆，价值433.03万元；其中：一般公务用车17辆，价值433.03万元；执法执勤用车0辆，价值0万元；其他车辆0辆，价值0万元。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3.办公家具价值92.43万元。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4.其他资产价值603.97万元。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楷体_GB2312" w:hAnsi="宋体" w:eastAsia="楷体_GB2312" w:cs="宋体"/>
          <w:b/>
          <w:kern w:val="0"/>
          <w:sz w:val="32"/>
          <w:szCs w:val="32"/>
        </w:rPr>
      </w:pPr>
      <w:r>
        <w:rPr>
          <w:rFonts w:hint="eastAsia" w:ascii="仿宋_GB2312" w:hAnsi="宋体" w:eastAsia="仿宋_GB2312" w:cs="宋体"/>
          <w:kern w:val="0"/>
          <w:sz w:val="32"/>
          <w:szCs w:val="32"/>
        </w:rPr>
        <w:t>2021年昌吉州发展和改革委员会部门预算未安排购置车辆经费，安排购置50万元以上大型设备0台（套），单位价值100万元以上大型设备0台（套）。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14个，涉及预算金额859.00万元。具体情况见下表（按项目分别填报）：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W w:w="8818" w:type="dxa"/>
        <w:tblInd w:w="-3" w:type="dxa"/>
        <w:tblLayout w:type="fixed"/>
        <w:tblCellMar>
          <w:top w:w="0" w:type="dxa"/>
          <w:left w:w="0" w:type="dxa"/>
          <w:bottom w:w="0" w:type="dxa"/>
          <w:right w:w="0" w:type="dxa"/>
        </w:tblCellMar>
      </w:tblPr>
      <w:tblGrid>
        <w:gridCol w:w="644"/>
        <w:gridCol w:w="644"/>
        <w:gridCol w:w="266"/>
        <w:gridCol w:w="683"/>
        <w:gridCol w:w="606"/>
        <w:gridCol w:w="2768"/>
        <w:gridCol w:w="603"/>
        <w:gridCol w:w="2597"/>
        <w:gridCol w:w="7"/>
      </w:tblGrid>
      <w:tr>
        <w:tblPrEx>
          <w:tblLayout w:type="fixed"/>
          <w:tblCellMar>
            <w:top w:w="0" w:type="dxa"/>
            <w:left w:w="0" w:type="dxa"/>
            <w:bottom w:w="0" w:type="dxa"/>
            <w:right w:w="0" w:type="dxa"/>
          </w:tblCellMar>
        </w:tblPrEx>
        <w:trPr>
          <w:trHeight w:val="480" w:hRule="atLeast"/>
        </w:trPr>
        <w:tc>
          <w:tcPr>
            <w:tcW w:w="8818"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8"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gridAfter w:val="1"/>
          <w:wAfter w:w="7" w:type="dxa"/>
          <w:trHeight w:val="439" w:hRule="atLeast"/>
        </w:trPr>
        <w:tc>
          <w:tcPr>
            <w:tcW w:w="28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9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“信用昌吉”网站体系运行维护费</w:t>
            </w:r>
          </w:p>
        </w:tc>
      </w:tr>
      <w:tr>
        <w:tblPrEx>
          <w:tblLayout w:type="fixed"/>
          <w:tblCellMar>
            <w:top w:w="0" w:type="dxa"/>
            <w:left w:w="0" w:type="dxa"/>
            <w:bottom w:w="0" w:type="dxa"/>
            <w:right w:w="0" w:type="dxa"/>
          </w:tblCellMar>
        </w:tblPrEx>
        <w:trPr>
          <w:gridAfter w:val="1"/>
          <w:wAfter w:w="7" w:type="dxa"/>
          <w:trHeight w:val="439" w:hRule="atLeast"/>
        </w:trPr>
        <w:tc>
          <w:tcPr>
            <w:tcW w:w="28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9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gridAfter w:val="1"/>
          <w:wAfter w:w="7" w:type="dxa"/>
          <w:trHeight w:val="739" w:hRule="atLeast"/>
        </w:trPr>
        <w:tc>
          <w:tcPr>
            <w:tcW w:w="2843"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9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年度资金总额：12</w:t>
            </w:r>
          </w:p>
        </w:tc>
      </w:tr>
      <w:tr>
        <w:tblPrEx>
          <w:tblLayout w:type="fixed"/>
          <w:tblCellMar>
            <w:top w:w="0" w:type="dxa"/>
            <w:left w:w="0" w:type="dxa"/>
            <w:bottom w:w="0" w:type="dxa"/>
            <w:right w:w="0" w:type="dxa"/>
          </w:tblCellMar>
        </w:tblPrEx>
        <w:trPr>
          <w:gridAfter w:val="1"/>
          <w:wAfter w:w="7" w:type="dxa"/>
          <w:trHeight w:val="439" w:hRule="atLeast"/>
        </w:trPr>
        <w:tc>
          <w:tcPr>
            <w:tcW w:w="284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9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12</w:t>
            </w:r>
          </w:p>
        </w:tc>
      </w:tr>
      <w:tr>
        <w:tblPrEx>
          <w:tblLayout w:type="fixed"/>
          <w:tblCellMar>
            <w:top w:w="0" w:type="dxa"/>
            <w:left w:w="0" w:type="dxa"/>
            <w:bottom w:w="0" w:type="dxa"/>
            <w:right w:w="0" w:type="dxa"/>
          </w:tblCellMar>
        </w:tblPrEx>
        <w:trPr>
          <w:gridAfter w:val="1"/>
          <w:wAfter w:w="7" w:type="dxa"/>
          <w:trHeight w:val="439" w:hRule="atLeast"/>
        </w:trPr>
        <w:tc>
          <w:tcPr>
            <w:tcW w:w="2843"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59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gridAfter w:val="1"/>
          <w:wAfter w:w="7" w:type="dxa"/>
          <w:trHeight w:val="500"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1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gridAfter w:val="1"/>
          <w:wAfter w:w="7" w:type="dxa"/>
          <w:trHeight w:val="258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1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职能：为响应国家发展和改革委员会对加强全国信用信息共享平台一体化建设和社会信用门户网站一体化建设指导意见（发改财金</w:t>
            </w:r>
            <w:r>
              <w:rPr>
                <w:rStyle w:val="16"/>
                <w:lang w:bidi="ar"/>
              </w:rPr>
              <w:t>〔</w:t>
            </w:r>
            <w:r>
              <w:rPr>
                <w:rStyle w:val="17"/>
                <w:rFonts w:hint="default"/>
                <w:lang w:bidi="ar"/>
              </w:rPr>
              <w:t>2017</w:t>
            </w:r>
            <w:r>
              <w:rPr>
                <w:rStyle w:val="16"/>
                <w:lang w:bidi="ar"/>
              </w:rPr>
              <w:t>〕</w:t>
            </w:r>
            <w:r>
              <w:rPr>
                <w:rStyle w:val="17"/>
                <w:rFonts w:hint="default"/>
                <w:lang w:bidi="ar"/>
              </w:rPr>
              <w:t>714号）的要求，根据国家、自治区加强信息交换、共用共享等信用体系建设工作的迫切需求，进一步实现“信用昌吉”网站跨地区、跨部门、跨领域公示的目标，按时完成国家、自治区对我州信用体系建设考核等目标任务。                                                  2021年工作计划：建立统一的信用标准体系，制订信用信息采集、整理、加工、保存、使用等方面的规章制度，确保公共信用信息平台数据的及时性、完整性、准确性，平台数据得到充分利用。</w:t>
            </w:r>
          </w:p>
        </w:tc>
      </w:tr>
      <w:tr>
        <w:tblPrEx>
          <w:tblLayout w:type="fixed"/>
          <w:tblCellMar>
            <w:top w:w="0" w:type="dxa"/>
            <w:left w:w="0" w:type="dxa"/>
            <w:bottom w:w="0" w:type="dxa"/>
            <w:right w:w="0" w:type="dxa"/>
          </w:tblCellMar>
        </w:tblPrEx>
        <w:trPr>
          <w:gridAfter w:val="1"/>
          <w:wAfter w:w="7" w:type="dxa"/>
          <w:trHeight w:val="82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9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gridAfter w:val="1"/>
          <w:wAfter w:w="7" w:type="dxa"/>
          <w:trHeight w:val="654"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9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各类公示信息年录入量</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≥1万条</w:t>
            </w:r>
          </w:p>
        </w:tc>
      </w:tr>
      <w:tr>
        <w:tblPrEx>
          <w:tblLayout w:type="fixed"/>
          <w:tblCellMar>
            <w:top w:w="0" w:type="dxa"/>
            <w:left w:w="0" w:type="dxa"/>
            <w:bottom w:w="0" w:type="dxa"/>
            <w:right w:w="0" w:type="dxa"/>
          </w:tblCellMar>
        </w:tblPrEx>
        <w:trPr>
          <w:gridAfter w:val="1"/>
          <w:wAfter w:w="7" w:type="dxa"/>
          <w:trHeight w:val="564"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网站日常运行稳定性</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≥99.5%</w:t>
            </w:r>
          </w:p>
        </w:tc>
      </w:tr>
      <w:tr>
        <w:tblPrEx>
          <w:tblLayout w:type="fixed"/>
          <w:tblCellMar>
            <w:top w:w="0" w:type="dxa"/>
            <w:left w:w="0" w:type="dxa"/>
            <w:bottom w:w="0" w:type="dxa"/>
            <w:right w:w="0" w:type="dxa"/>
          </w:tblCellMar>
        </w:tblPrEx>
        <w:trPr>
          <w:gridAfter w:val="1"/>
          <w:wAfter w:w="7" w:type="dxa"/>
          <w:trHeight w:val="377"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系统故障修复处理</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≤2天</w:t>
            </w:r>
          </w:p>
        </w:tc>
      </w:tr>
      <w:tr>
        <w:tblPrEx>
          <w:tblLayout w:type="fixed"/>
          <w:tblCellMar>
            <w:top w:w="0" w:type="dxa"/>
            <w:left w:w="0" w:type="dxa"/>
            <w:bottom w:w="0" w:type="dxa"/>
            <w:right w:w="0" w:type="dxa"/>
          </w:tblCellMar>
        </w:tblPrEx>
        <w:trPr>
          <w:gridAfter w:val="1"/>
          <w:wAfter w:w="7" w:type="dxa"/>
          <w:trHeight w:val="382"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系统运行维护响应</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≤24小时</w:t>
            </w:r>
          </w:p>
        </w:tc>
      </w:tr>
      <w:tr>
        <w:tblPrEx>
          <w:tblLayout w:type="fixed"/>
          <w:tblCellMar>
            <w:top w:w="0" w:type="dxa"/>
            <w:left w:w="0" w:type="dxa"/>
            <w:bottom w:w="0" w:type="dxa"/>
            <w:right w:w="0" w:type="dxa"/>
          </w:tblCellMar>
        </w:tblPrEx>
        <w:trPr>
          <w:gridAfter w:val="1"/>
          <w:wAfter w:w="7" w:type="dxa"/>
          <w:trHeight w:val="62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网站体系维护费及管理费用</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≤12万元</w:t>
            </w:r>
          </w:p>
        </w:tc>
      </w:tr>
      <w:tr>
        <w:tblPrEx>
          <w:tblLayout w:type="fixed"/>
          <w:tblCellMar>
            <w:top w:w="0" w:type="dxa"/>
            <w:left w:w="0" w:type="dxa"/>
            <w:bottom w:w="0" w:type="dxa"/>
            <w:right w:w="0" w:type="dxa"/>
          </w:tblCellMar>
        </w:tblPrEx>
        <w:trPr>
          <w:gridAfter w:val="1"/>
          <w:wAfter w:w="7" w:type="dxa"/>
          <w:trHeight w:val="9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经济效益指标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w:t>
            </w:r>
          </w:p>
        </w:tc>
      </w:tr>
      <w:tr>
        <w:tblPrEx>
          <w:tblLayout w:type="fixed"/>
          <w:tblCellMar>
            <w:top w:w="0" w:type="dxa"/>
            <w:left w:w="0" w:type="dxa"/>
            <w:bottom w:w="0" w:type="dxa"/>
            <w:right w:w="0" w:type="dxa"/>
          </w:tblCellMar>
        </w:tblPrEx>
        <w:trPr>
          <w:gridAfter w:val="1"/>
          <w:wAfter w:w="7" w:type="dxa"/>
          <w:trHeight w:val="699"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实现统一信息管理，覆盖率（%）</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7" w:type="dxa"/>
          <w:trHeight w:val="737"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系统正常使用年限</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≥1年</w:t>
            </w:r>
          </w:p>
        </w:tc>
      </w:tr>
      <w:tr>
        <w:tblPrEx>
          <w:tblLayout w:type="fixed"/>
          <w:tblCellMar>
            <w:top w:w="0" w:type="dxa"/>
            <w:left w:w="0" w:type="dxa"/>
            <w:bottom w:w="0" w:type="dxa"/>
            <w:right w:w="0" w:type="dxa"/>
          </w:tblCellMar>
        </w:tblPrEx>
        <w:trPr>
          <w:gridAfter w:val="1"/>
          <w:wAfter w:w="7" w:type="dxa"/>
          <w:trHeight w:val="942"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服务对象满意度指标</w:t>
            </w:r>
          </w:p>
        </w:tc>
        <w:tc>
          <w:tcPr>
            <w:tcW w:w="33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使用人员满意度（%）</w:t>
            </w:r>
          </w:p>
        </w:tc>
        <w:tc>
          <w:tcPr>
            <w:tcW w:w="2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7" w:type="dxa"/>
          <w:trHeight w:val="675" w:hRule="atLeast"/>
        </w:trPr>
        <w:tc>
          <w:tcPr>
            <w:tcW w:w="8811"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gridAfter w:val="1"/>
          <w:wAfter w:w="7" w:type="dxa"/>
          <w:trHeight w:val="285" w:hRule="atLeast"/>
        </w:trPr>
        <w:tc>
          <w:tcPr>
            <w:tcW w:w="8811"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gridAfter w:val="1"/>
          <w:wAfter w:w="7" w:type="dxa"/>
          <w:trHeight w:val="700" w:hRule="atLeast"/>
        </w:trPr>
        <w:tc>
          <w:tcPr>
            <w:tcW w:w="22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5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昌吉回族自治州国民经济和社会发展“十四五”规划纲要汇编、重点专项规划汇编及相关资料印刷经费</w:t>
            </w:r>
          </w:p>
        </w:tc>
      </w:tr>
      <w:tr>
        <w:tblPrEx>
          <w:tblLayout w:type="fixed"/>
          <w:tblCellMar>
            <w:top w:w="0" w:type="dxa"/>
            <w:left w:w="0" w:type="dxa"/>
            <w:bottom w:w="0" w:type="dxa"/>
            <w:right w:w="0" w:type="dxa"/>
          </w:tblCellMar>
        </w:tblPrEx>
        <w:trPr>
          <w:gridAfter w:val="1"/>
          <w:wAfter w:w="7" w:type="dxa"/>
          <w:trHeight w:val="420" w:hRule="atLeast"/>
        </w:trPr>
        <w:tc>
          <w:tcPr>
            <w:tcW w:w="223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5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昌吉州发展和改革委员会</w:t>
            </w:r>
          </w:p>
        </w:tc>
      </w:tr>
      <w:tr>
        <w:tblPrEx>
          <w:tblLayout w:type="fixed"/>
          <w:tblCellMar>
            <w:top w:w="0" w:type="dxa"/>
            <w:left w:w="0" w:type="dxa"/>
            <w:bottom w:w="0" w:type="dxa"/>
            <w:right w:w="0" w:type="dxa"/>
          </w:tblCellMar>
        </w:tblPrEx>
        <w:trPr>
          <w:gridAfter w:val="1"/>
          <w:wAfter w:w="7" w:type="dxa"/>
          <w:trHeight w:val="480" w:hRule="atLeast"/>
        </w:trPr>
        <w:tc>
          <w:tcPr>
            <w:tcW w:w="223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5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年度资金总额：25</w:t>
            </w:r>
          </w:p>
        </w:tc>
      </w:tr>
      <w:tr>
        <w:tblPrEx>
          <w:tblLayout w:type="fixed"/>
          <w:tblCellMar>
            <w:top w:w="0" w:type="dxa"/>
            <w:left w:w="0" w:type="dxa"/>
            <w:bottom w:w="0" w:type="dxa"/>
            <w:right w:w="0" w:type="dxa"/>
          </w:tblCellMar>
        </w:tblPrEx>
        <w:trPr>
          <w:gridAfter w:val="1"/>
          <w:wAfter w:w="7" w:type="dxa"/>
          <w:trHeight w:val="439" w:hRule="atLeast"/>
        </w:trPr>
        <w:tc>
          <w:tcPr>
            <w:tcW w:w="22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5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25</w:t>
            </w:r>
          </w:p>
        </w:tc>
      </w:tr>
      <w:tr>
        <w:tblPrEx>
          <w:tblLayout w:type="fixed"/>
          <w:tblCellMar>
            <w:top w:w="0" w:type="dxa"/>
            <w:left w:w="0" w:type="dxa"/>
            <w:bottom w:w="0" w:type="dxa"/>
            <w:right w:w="0" w:type="dxa"/>
          </w:tblCellMar>
        </w:tblPrEx>
        <w:trPr>
          <w:gridAfter w:val="1"/>
          <w:wAfter w:w="7" w:type="dxa"/>
          <w:trHeight w:val="439" w:hRule="atLeast"/>
        </w:trPr>
        <w:tc>
          <w:tcPr>
            <w:tcW w:w="22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5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gridAfter w:val="1"/>
          <w:wAfter w:w="7" w:type="dxa"/>
          <w:trHeight w:val="439"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1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gridAfter w:val="1"/>
          <w:wAfter w:w="7" w:type="dxa"/>
          <w:trHeight w:val="286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1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贯彻执行国家和自治区国民经济、社会发展方针、政策及法律、法规；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地区及主要行业的规划；受自治州人民政府委托向自治州人大提交国民经济和社会发展计划的报告。                                   2021年工作计划：自治州“十四五”规划纲要汇编的印刷出版使得全州上下在“十四五”时期统一思想、凝聚共识，时刻牢记规划纲要既定的目标任务，并以此为遵循，奋力开创“十四五”经济社会发展美好篇章。</w:t>
            </w:r>
          </w:p>
        </w:tc>
      </w:tr>
      <w:tr>
        <w:tblPrEx>
          <w:tblLayout w:type="fixed"/>
          <w:tblCellMar>
            <w:top w:w="0" w:type="dxa"/>
            <w:left w:w="0" w:type="dxa"/>
            <w:bottom w:w="0" w:type="dxa"/>
            <w:right w:w="0" w:type="dxa"/>
          </w:tblCellMar>
        </w:tblPrEx>
        <w:trPr>
          <w:gridAfter w:val="1"/>
          <w:wAfter w:w="7" w:type="dxa"/>
          <w:trHeight w:val="56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gridAfter w:val="1"/>
          <w:wAfter w:w="7" w:type="dxa"/>
          <w:trHeight w:val="660"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完成自治州“十四五”规划纲要汇编印刷</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1000本</w:t>
            </w:r>
          </w:p>
        </w:tc>
      </w:tr>
      <w:tr>
        <w:tblPrEx>
          <w:tblLayout w:type="fixed"/>
          <w:tblCellMar>
            <w:top w:w="0" w:type="dxa"/>
            <w:left w:w="0" w:type="dxa"/>
            <w:bottom w:w="0" w:type="dxa"/>
            <w:right w:w="0" w:type="dxa"/>
          </w:tblCellMar>
        </w:tblPrEx>
        <w:trPr>
          <w:gridAfter w:val="1"/>
          <w:wAfter w:w="7" w:type="dxa"/>
          <w:trHeight w:val="49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印刷合格率</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7" w:type="dxa"/>
          <w:trHeight w:val="54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印刷开展时间</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gridAfter w:val="1"/>
          <w:wAfter w:w="7" w:type="dxa"/>
          <w:trHeight w:val="62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自治州“十四五”规划纲要汇编印刷专项经费</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≤25万元</w:t>
            </w:r>
          </w:p>
        </w:tc>
      </w:tr>
      <w:tr>
        <w:tblPrEx>
          <w:tblLayout w:type="fixed"/>
          <w:tblCellMar>
            <w:top w:w="0" w:type="dxa"/>
            <w:left w:w="0" w:type="dxa"/>
            <w:bottom w:w="0" w:type="dxa"/>
            <w:right w:w="0" w:type="dxa"/>
          </w:tblCellMar>
        </w:tblPrEx>
        <w:trPr>
          <w:gridAfter w:val="1"/>
          <w:wAfter w:w="7" w:type="dxa"/>
          <w:trHeight w:val="6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经济效益指标</w:t>
            </w:r>
          </w:p>
        </w:tc>
        <w:tc>
          <w:tcPr>
            <w:tcW w:w="3374" w:type="dxa"/>
            <w:gridSpan w:val="2"/>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“十四五”规划执行情况（%）</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≥80%</w:t>
            </w:r>
          </w:p>
        </w:tc>
      </w:tr>
      <w:tr>
        <w:tblPrEx>
          <w:tblLayout w:type="fixed"/>
          <w:tblCellMar>
            <w:top w:w="0" w:type="dxa"/>
            <w:left w:w="0" w:type="dxa"/>
            <w:bottom w:w="0" w:type="dxa"/>
            <w:right w:w="0" w:type="dxa"/>
          </w:tblCellMar>
        </w:tblPrEx>
        <w:trPr>
          <w:gridAfter w:val="1"/>
          <w:wAfter w:w="7" w:type="dxa"/>
          <w:trHeight w:val="987"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49" w:type="dxa"/>
            <w:gridSpan w:val="2"/>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社会效益指标</w:t>
            </w:r>
          </w:p>
        </w:tc>
        <w:tc>
          <w:tcPr>
            <w:tcW w:w="337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实现经济健康发展，社会进步、带动就业、提高人民生活水平</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gridAfter w:val="1"/>
          <w:wAfter w:w="7" w:type="dxa"/>
          <w:trHeight w:val="696"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可持续影响指标</w:t>
            </w:r>
          </w:p>
        </w:tc>
        <w:tc>
          <w:tcPr>
            <w:tcW w:w="3374" w:type="dxa"/>
            <w:gridSpan w:val="2"/>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实现各行业领域持续健康发展</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gridAfter w:val="1"/>
          <w:wAfter w:w="7" w:type="dxa"/>
          <w:trHeight w:val="72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94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服务对象满意度指标</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服务群体满意度（%）</w:t>
            </w:r>
          </w:p>
        </w:tc>
        <w:tc>
          <w:tcPr>
            <w:tcW w:w="3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11" w:type="dxa"/>
        <w:tblInd w:w="0" w:type="dxa"/>
        <w:tblLayout w:type="fixed"/>
        <w:tblCellMar>
          <w:top w:w="0" w:type="dxa"/>
          <w:left w:w="0" w:type="dxa"/>
          <w:bottom w:w="0" w:type="dxa"/>
          <w:right w:w="0" w:type="dxa"/>
        </w:tblCellMar>
      </w:tblPr>
      <w:tblGrid>
        <w:gridCol w:w="641"/>
        <w:gridCol w:w="641"/>
        <w:gridCol w:w="1295"/>
        <w:gridCol w:w="3370"/>
        <w:gridCol w:w="2864"/>
      </w:tblGrid>
      <w:tr>
        <w:tblPrEx>
          <w:tblLayout w:type="fixed"/>
          <w:tblCellMar>
            <w:top w:w="0" w:type="dxa"/>
            <w:left w:w="0" w:type="dxa"/>
            <w:bottom w:w="0" w:type="dxa"/>
            <w:right w:w="0" w:type="dxa"/>
          </w:tblCellMar>
        </w:tblPrEx>
        <w:trPr>
          <w:trHeight w:val="675" w:hRule="atLeast"/>
        </w:trPr>
        <w:tc>
          <w:tcPr>
            <w:tcW w:w="881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1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8"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昌吉州发展和改革委员会部分搬迁、修缮及弱电改造项目</w:t>
            </w:r>
          </w:p>
        </w:tc>
      </w:tr>
      <w:tr>
        <w:tblPrEx>
          <w:tblLayout w:type="fixed"/>
          <w:tblCellMar>
            <w:top w:w="0" w:type="dxa"/>
            <w:left w:w="0" w:type="dxa"/>
            <w:bottom w:w="0" w:type="dxa"/>
            <w:right w:w="0" w:type="dxa"/>
          </w:tblCellMar>
        </w:tblPrEx>
        <w:trPr>
          <w:trHeight w:val="438"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昌吉州发展和改革委员会</w:t>
            </w:r>
          </w:p>
        </w:tc>
      </w:tr>
      <w:tr>
        <w:tblPrEx>
          <w:tblLayout w:type="fixed"/>
          <w:tblCellMar>
            <w:top w:w="0" w:type="dxa"/>
            <w:left w:w="0" w:type="dxa"/>
            <w:bottom w:w="0" w:type="dxa"/>
            <w:right w:w="0" w:type="dxa"/>
          </w:tblCellMar>
        </w:tblPrEx>
        <w:trPr>
          <w:trHeight w:val="360" w:hRule="atLeast"/>
        </w:trPr>
        <w:tc>
          <w:tcPr>
            <w:tcW w:w="257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年度资金总额：30</w:t>
            </w:r>
          </w:p>
        </w:tc>
      </w:tr>
      <w:tr>
        <w:tblPrEx>
          <w:tblLayout w:type="fixed"/>
          <w:tblCellMar>
            <w:top w:w="0" w:type="dxa"/>
            <w:left w:w="0" w:type="dxa"/>
            <w:bottom w:w="0" w:type="dxa"/>
            <w:right w:w="0" w:type="dxa"/>
          </w:tblCellMar>
        </w:tblPrEx>
        <w:trPr>
          <w:trHeight w:val="438"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30</w:t>
            </w:r>
          </w:p>
        </w:tc>
      </w:tr>
      <w:tr>
        <w:tblPrEx>
          <w:tblLayout w:type="fixed"/>
          <w:tblCellMar>
            <w:top w:w="0" w:type="dxa"/>
            <w:left w:w="0" w:type="dxa"/>
            <w:bottom w:w="0" w:type="dxa"/>
            <w:right w:w="0" w:type="dxa"/>
          </w:tblCellMar>
        </w:tblPrEx>
        <w:trPr>
          <w:trHeight w:val="438"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380" w:hRule="atLeast"/>
        </w:trPr>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1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266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1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贯彻执行国家和自治区国民经济、社会发展方针、政策及法律、法规；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地区及主要行业的规划；受自治州人民政府委托向自治州人大提交国民经济和社会发展计划的报告。                                 2021年工作计划：新办公点修缮、监控、综合布线，原粮食局办公楼4-5层监控、实验室隔离改造、4层卫生间改造，办公区域的日常维修。</w:t>
            </w:r>
          </w:p>
        </w:tc>
      </w:tr>
      <w:tr>
        <w:tblPrEx>
          <w:tblLayout w:type="fixed"/>
          <w:tblCellMar>
            <w:top w:w="0" w:type="dxa"/>
            <w:left w:w="0" w:type="dxa"/>
            <w:bottom w:w="0" w:type="dxa"/>
            <w:right w:w="0" w:type="dxa"/>
          </w:tblCellMar>
        </w:tblPrEx>
        <w:trPr>
          <w:trHeight w:val="74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660" w:hRule="atLeast"/>
        </w:trPr>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数量指标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修缮及搬迁石油公司新办公点和原粮食局办公点</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1次</w:t>
            </w:r>
          </w:p>
        </w:tc>
      </w:tr>
      <w:tr>
        <w:tblPrEx>
          <w:tblLayout w:type="fixed"/>
          <w:tblCellMar>
            <w:top w:w="0" w:type="dxa"/>
            <w:left w:w="0" w:type="dxa"/>
            <w:bottom w:w="0" w:type="dxa"/>
            <w:right w:w="0" w:type="dxa"/>
          </w:tblCellMar>
        </w:tblPrEx>
        <w:trPr>
          <w:trHeight w:val="66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石油公司新办公点和原粮食局办公点弱电改造</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1次</w:t>
            </w:r>
          </w:p>
        </w:tc>
      </w:tr>
      <w:tr>
        <w:tblPrEx>
          <w:tblLayout w:type="fixed"/>
          <w:tblCellMar>
            <w:top w:w="0" w:type="dxa"/>
            <w:left w:w="0" w:type="dxa"/>
            <w:bottom w:w="0" w:type="dxa"/>
            <w:right w:w="0" w:type="dxa"/>
          </w:tblCellMar>
        </w:tblPrEx>
        <w:trPr>
          <w:trHeight w:val="84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质量指标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修缮项目及弱电改造项目合格率</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62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各项工作开展时间</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74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部分搬迁、修缮及弱电改造项目成本费用</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≤30万元</w:t>
            </w:r>
          </w:p>
        </w:tc>
      </w:tr>
      <w:tr>
        <w:tblPrEx>
          <w:tblLayout w:type="fixed"/>
          <w:tblCellMar>
            <w:top w:w="0" w:type="dxa"/>
            <w:left w:w="0" w:type="dxa"/>
            <w:bottom w:w="0" w:type="dxa"/>
            <w:right w:w="0" w:type="dxa"/>
          </w:tblCellMar>
        </w:tblPrEx>
        <w:trPr>
          <w:trHeight w:val="988"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办公环境的改善可以提高服务群众的质量，进而更好的促进优化营商环境</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84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生态效益指标</w:t>
            </w:r>
          </w:p>
        </w:tc>
        <w:tc>
          <w:tcPr>
            <w:tcW w:w="33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通过修缮办公楼及弱电改造，</w:t>
            </w:r>
            <w:r>
              <w:rPr>
                <w:rFonts w:hint="eastAsia" w:ascii="Arial" w:hAnsi="Arial" w:cs="Arial"/>
                <w:color w:val="000000"/>
                <w:kern w:val="0"/>
                <w:sz w:val="20"/>
                <w:szCs w:val="20"/>
                <w:lang w:eastAsia="zh-CN" w:bidi="ar"/>
              </w:rPr>
              <w:t>能够更好地</w:t>
            </w:r>
            <w:r>
              <w:rPr>
                <w:rFonts w:ascii="Arial" w:hAnsi="Arial" w:cs="Arial"/>
                <w:color w:val="000000"/>
                <w:kern w:val="0"/>
                <w:sz w:val="20"/>
                <w:szCs w:val="20"/>
                <w:lang w:bidi="ar"/>
              </w:rPr>
              <w:t>节约水、电。</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节能</w:t>
            </w:r>
          </w:p>
        </w:tc>
      </w:tr>
      <w:tr>
        <w:tblPrEx>
          <w:tblLayout w:type="fixed"/>
          <w:tblCellMar>
            <w:top w:w="0" w:type="dxa"/>
            <w:left w:w="0" w:type="dxa"/>
            <w:bottom w:w="0" w:type="dxa"/>
            <w:right w:w="0" w:type="dxa"/>
          </w:tblCellMar>
        </w:tblPrEx>
        <w:trPr>
          <w:trHeight w:val="58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服务群体满意度（%）</w:t>
            </w:r>
          </w:p>
        </w:tc>
        <w:tc>
          <w:tcPr>
            <w:tcW w:w="28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41" w:type="dxa"/>
        <w:tblInd w:w="0" w:type="dxa"/>
        <w:tblLayout w:type="fixed"/>
        <w:tblCellMar>
          <w:top w:w="0" w:type="dxa"/>
          <w:left w:w="0" w:type="dxa"/>
          <w:bottom w:w="0" w:type="dxa"/>
          <w:right w:w="0" w:type="dxa"/>
        </w:tblCellMar>
      </w:tblPr>
      <w:tblGrid>
        <w:gridCol w:w="645"/>
        <w:gridCol w:w="645"/>
        <w:gridCol w:w="1290"/>
        <w:gridCol w:w="3375"/>
        <w:gridCol w:w="2886"/>
      </w:tblGrid>
      <w:tr>
        <w:tblPrEx>
          <w:tblLayout w:type="fixed"/>
          <w:tblCellMar>
            <w:top w:w="0" w:type="dxa"/>
            <w:left w:w="0" w:type="dxa"/>
            <w:bottom w:w="0" w:type="dxa"/>
            <w:right w:w="0" w:type="dxa"/>
          </w:tblCellMar>
        </w:tblPrEx>
        <w:trPr>
          <w:trHeight w:val="675" w:hRule="atLeast"/>
        </w:trPr>
        <w:tc>
          <w:tcPr>
            <w:tcW w:w="884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4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2021年度）</w:t>
            </w:r>
          </w:p>
        </w:tc>
      </w:tr>
      <w:tr>
        <w:tblPrEx>
          <w:tblLayout w:type="fixed"/>
          <w:tblCellMar>
            <w:top w:w="0" w:type="dxa"/>
            <w:left w:w="0" w:type="dxa"/>
            <w:bottom w:w="0" w:type="dxa"/>
            <w:right w:w="0" w:type="dxa"/>
          </w:tblCellMar>
        </w:tblPrEx>
        <w:trPr>
          <w:trHeight w:val="439" w:hRule="atLeast"/>
        </w:trPr>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昌吉州项目库信息管理系统运行维护费</w:t>
            </w:r>
          </w:p>
        </w:tc>
      </w:tr>
      <w:tr>
        <w:tblPrEx>
          <w:tblLayout w:type="fixed"/>
          <w:tblCellMar>
            <w:top w:w="0" w:type="dxa"/>
            <w:left w:w="0" w:type="dxa"/>
            <w:bottom w:w="0" w:type="dxa"/>
            <w:right w:w="0" w:type="dxa"/>
          </w:tblCellMar>
        </w:tblPrEx>
        <w:trPr>
          <w:trHeight w:val="439" w:hRule="atLeast"/>
        </w:trPr>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644" w:hRule="atLeast"/>
        </w:trPr>
        <w:tc>
          <w:tcPr>
            <w:tcW w:w="25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年度资金总额：3.0</w:t>
            </w:r>
          </w:p>
        </w:tc>
      </w:tr>
      <w:tr>
        <w:tblPrEx>
          <w:tblLayout w:type="fixed"/>
          <w:tblCellMar>
            <w:top w:w="0" w:type="dxa"/>
            <w:left w:w="0" w:type="dxa"/>
            <w:bottom w:w="0" w:type="dxa"/>
            <w:right w:w="0" w:type="dxa"/>
          </w:tblCellMar>
        </w:tblPrEx>
        <w:trPr>
          <w:trHeight w:val="439" w:hRule="atLeast"/>
        </w:trPr>
        <w:tc>
          <w:tcPr>
            <w:tcW w:w="25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3.0</w:t>
            </w:r>
          </w:p>
        </w:tc>
      </w:tr>
      <w:tr>
        <w:tblPrEx>
          <w:tblLayout w:type="fixed"/>
          <w:tblCellMar>
            <w:top w:w="0" w:type="dxa"/>
            <w:left w:w="0" w:type="dxa"/>
            <w:bottom w:w="0" w:type="dxa"/>
            <w:right w:w="0" w:type="dxa"/>
          </w:tblCellMar>
        </w:tblPrEx>
        <w:trPr>
          <w:trHeight w:val="439" w:hRule="atLeast"/>
        </w:trPr>
        <w:tc>
          <w:tcPr>
            <w:tcW w:w="25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407"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1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246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1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职能：承担规划重大建设项目和生产力布局的责任。研究提出自治州全社会固定资产投资总规模和投资方向，规划重点项目和生产力布局；汇总编制自治州固定资产投资计划、建设项目的项目建议书、可行性研究报告和初步设计的审核、审批、报批及开工报告；审批国家、自治区级规划内和年度计划规模内的固定资产投资项目（除需报国家、自治区人民政府审批、核准或由自治区发展和改革委员会审批、核准外）；负责自治州重点项目的管理和组织协调；    项目目标：建立州、县（园区）之间项目科学化信息共享互通，共同管理，从而促进昌吉州固定资产投资稳定增长。</w:t>
            </w:r>
          </w:p>
        </w:tc>
      </w:tr>
      <w:tr>
        <w:tblPrEx>
          <w:tblLayout w:type="fixed"/>
          <w:tblCellMar>
            <w:top w:w="0" w:type="dxa"/>
            <w:left w:w="0" w:type="dxa"/>
            <w:bottom w:w="0" w:type="dxa"/>
            <w:right w:w="0" w:type="dxa"/>
          </w:tblCellMar>
        </w:tblPrEx>
        <w:trPr>
          <w:trHeight w:val="522"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534" w:hRule="atLeast"/>
        </w:trPr>
        <w:tc>
          <w:tcPr>
            <w:tcW w:w="645" w:type="dxa"/>
            <w:vMerge w:val="restar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项目信息年录入量（条）</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&gt;600条</w:t>
            </w:r>
          </w:p>
        </w:tc>
      </w:tr>
      <w:tr>
        <w:tblPrEx>
          <w:tblLayout w:type="fixed"/>
          <w:tblCellMar>
            <w:top w:w="0" w:type="dxa"/>
            <w:left w:w="0" w:type="dxa"/>
            <w:bottom w:w="0" w:type="dxa"/>
            <w:right w:w="0" w:type="dxa"/>
          </w:tblCellMar>
        </w:tblPrEx>
        <w:trPr>
          <w:trHeight w:val="380" w:hRule="atLeast"/>
        </w:trPr>
        <w:tc>
          <w:tcPr>
            <w:tcW w:w="645"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网站日常运行稳定性（%）</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&gt;99%</w:t>
            </w:r>
          </w:p>
        </w:tc>
      </w:tr>
      <w:tr>
        <w:tblPrEx>
          <w:tblLayout w:type="fixed"/>
          <w:tblCellMar>
            <w:top w:w="0" w:type="dxa"/>
            <w:left w:w="0" w:type="dxa"/>
            <w:bottom w:w="0" w:type="dxa"/>
            <w:right w:w="0" w:type="dxa"/>
          </w:tblCellMar>
        </w:tblPrEx>
        <w:trPr>
          <w:trHeight w:val="380" w:hRule="atLeast"/>
        </w:trPr>
        <w:tc>
          <w:tcPr>
            <w:tcW w:w="645"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信息更新及时性（%）</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&gt;90%</w:t>
            </w:r>
          </w:p>
        </w:tc>
      </w:tr>
      <w:tr>
        <w:tblPrEx>
          <w:tblLayout w:type="fixed"/>
          <w:tblCellMar>
            <w:top w:w="0" w:type="dxa"/>
            <w:left w:w="0" w:type="dxa"/>
            <w:bottom w:w="0" w:type="dxa"/>
            <w:right w:w="0" w:type="dxa"/>
          </w:tblCellMar>
        </w:tblPrEx>
        <w:trPr>
          <w:trHeight w:val="595" w:hRule="atLeast"/>
        </w:trPr>
        <w:tc>
          <w:tcPr>
            <w:tcW w:w="645"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项目库信息管理系统运行维护所需时间</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12个月</w:t>
            </w:r>
          </w:p>
        </w:tc>
      </w:tr>
      <w:tr>
        <w:tblPrEx>
          <w:tblLayout w:type="fixed"/>
          <w:tblCellMar>
            <w:top w:w="0" w:type="dxa"/>
            <w:left w:w="0" w:type="dxa"/>
            <w:bottom w:w="0" w:type="dxa"/>
            <w:right w:w="0" w:type="dxa"/>
          </w:tblCellMar>
        </w:tblPrEx>
        <w:trPr>
          <w:trHeight w:val="595" w:hRule="atLeast"/>
        </w:trPr>
        <w:tc>
          <w:tcPr>
            <w:tcW w:w="645"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网站体系维护费及管理费用 （万元）</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=3万元</w:t>
            </w:r>
          </w:p>
        </w:tc>
      </w:tr>
      <w:tr>
        <w:tblPrEx>
          <w:tblLayout w:type="fixed"/>
          <w:tblCellMar>
            <w:top w:w="0" w:type="dxa"/>
            <w:left w:w="0" w:type="dxa"/>
            <w:bottom w:w="0" w:type="dxa"/>
            <w:right w:w="0" w:type="dxa"/>
          </w:tblCellMar>
        </w:tblPrEx>
        <w:trPr>
          <w:trHeight w:val="840" w:hRule="atLeast"/>
        </w:trPr>
        <w:tc>
          <w:tcPr>
            <w:tcW w:w="645"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经济效益指标</w:t>
            </w:r>
          </w:p>
        </w:tc>
        <w:tc>
          <w:tcPr>
            <w:tcW w:w="3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通过网站信息查阅、节约人工成本和时间（工作日）</w:t>
            </w:r>
          </w:p>
        </w:tc>
        <w:tc>
          <w:tcPr>
            <w:tcW w:w="2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10个工作日</w:t>
            </w:r>
          </w:p>
        </w:tc>
      </w:tr>
      <w:tr>
        <w:tblPrEx>
          <w:tblLayout w:type="fixed"/>
          <w:tblCellMar>
            <w:top w:w="0" w:type="dxa"/>
            <w:left w:w="0" w:type="dxa"/>
            <w:bottom w:w="0" w:type="dxa"/>
            <w:right w:w="0" w:type="dxa"/>
          </w:tblCellMar>
        </w:tblPrEx>
        <w:trPr>
          <w:trHeight w:val="567" w:hRule="atLeast"/>
        </w:trPr>
        <w:tc>
          <w:tcPr>
            <w:tcW w:w="645" w:type="dxa"/>
            <w:vMerge w:val="continue"/>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实现统一信息管理，覆盖率（%）</w:t>
            </w:r>
          </w:p>
        </w:tc>
        <w:tc>
          <w:tcPr>
            <w:tcW w:w="288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&gt;95%</w:t>
            </w:r>
          </w:p>
        </w:tc>
      </w:tr>
      <w:tr>
        <w:tblPrEx>
          <w:tblLayout w:type="fixed"/>
          <w:tblCellMar>
            <w:top w:w="0" w:type="dxa"/>
            <w:left w:w="0" w:type="dxa"/>
            <w:bottom w:w="0" w:type="dxa"/>
            <w:right w:w="0" w:type="dxa"/>
          </w:tblCellMar>
        </w:tblPrEx>
        <w:trPr>
          <w:trHeight w:val="840" w:hRule="atLeast"/>
        </w:trPr>
        <w:tc>
          <w:tcPr>
            <w:tcW w:w="64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实现统一登记，信息管理的全覆盖</w:t>
            </w:r>
          </w:p>
        </w:tc>
        <w:tc>
          <w:tcPr>
            <w:tcW w:w="2886"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&gt;80%</w:t>
            </w:r>
          </w:p>
        </w:tc>
      </w:tr>
      <w:tr>
        <w:tblPrEx>
          <w:tblLayout w:type="fixed"/>
          <w:tblCellMar>
            <w:top w:w="0" w:type="dxa"/>
            <w:left w:w="0" w:type="dxa"/>
            <w:bottom w:w="0" w:type="dxa"/>
            <w:right w:w="0" w:type="dxa"/>
          </w:tblCellMar>
        </w:tblPrEx>
        <w:trPr>
          <w:trHeight w:val="1182" w:hRule="atLeast"/>
        </w:trPr>
        <w:tc>
          <w:tcPr>
            <w:tcW w:w="645"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5"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服务对象满意度指标</w:t>
            </w:r>
          </w:p>
        </w:tc>
        <w:tc>
          <w:tcPr>
            <w:tcW w:w="337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服务群体满意度（%）</w:t>
            </w:r>
          </w:p>
        </w:tc>
        <w:tc>
          <w:tcPr>
            <w:tcW w:w="2886"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41" w:type="dxa"/>
        <w:tblInd w:w="0" w:type="dxa"/>
        <w:tblLayout w:type="fixed"/>
        <w:tblCellMar>
          <w:top w:w="0" w:type="dxa"/>
          <w:left w:w="0" w:type="dxa"/>
          <w:bottom w:w="0" w:type="dxa"/>
          <w:right w:w="0" w:type="dxa"/>
        </w:tblCellMar>
      </w:tblPr>
      <w:tblGrid>
        <w:gridCol w:w="641"/>
        <w:gridCol w:w="641"/>
        <w:gridCol w:w="1295"/>
        <w:gridCol w:w="3370"/>
        <w:gridCol w:w="2894"/>
      </w:tblGrid>
      <w:tr>
        <w:tblPrEx>
          <w:tblLayout w:type="fixed"/>
          <w:tblCellMar>
            <w:top w:w="0" w:type="dxa"/>
            <w:left w:w="0" w:type="dxa"/>
            <w:bottom w:w="0" w:type="dxa"/>
            <w:right w:w="0" w:type="dxa"/>
          </w:tblCellMar>
        </w:tblPrEx>
        <w:trPr>
          <w:trHeight w:val="675" w:hRule="atLeast"/>
        </w:trPr>
        <w:tc>
          <w:tcPr>
            <w:tcW w:w="884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4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8"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高质量发展研究经费</w:t>
            </w:r>
          </w:p>
        </w:tc>
      </w:tr>
      <w:tr>
        <w:tblPrEx>
          <w:tblLayout w:type="fixed"/>
          <w:tblCellMar>
            <w:top w:w="0" w:type="dxa"/>
            <w:left w:w="0" w:type="dxa"/>
            <w:bottom w:w="0" w:type="dxa"/>
            <w:right w:w="0" w:type="dxa"/>
          </w:tblCellMar>
        </w:tblPrEx>
        <w:trPr>
          <w:trHeight w:val="438"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昌吉州发展和改革委员会</w:t>
            </w:r>
          </w:p>
        </w:tc>
      </w:tr>
      <w:tr>
        <w:tblPrEx>
          <w:tblLayout w:type="fixed"/>
          <w:tblCellMar>
            <w:top w:w="0" w:type="dxa"/>
            <w:left w:w="0" w:type="dxa"/>
            <w:bottom w:w="0" w:type="dxa"/>
            <w:right w:w="0" w:type="dxa"/>
          </w:tblCellMar>
        </w:tblPrEx>
        <w:trPr>
          <w:trHeight w:val="440" w:hRule="atLeast"/>
        </w:trPr>
        <w:tc>
          <w:tcPr>
            <w:tcW w:w="257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年度资金总额：20</w:t>
            </w:r>
          </w:p>
        </w:tc>
      </w:tr>
      <w:tr>
        <w:tblPrEx>
          <w:tblLayout w:type="fixed"/>
          <w:tblCellMar>
            <w:top w:w="0" w:type="dxa"/>
            <w:left w:w="0" w:type="dxa"/>
            <w:bottom w:w="0" w:type="dxa"/>
            <w:right w:w="0" w:type="dxa"/>
          </w:tblCellMar>
        </w:tblPrEx>
        <w:trPr>
          <w:trHeight w:val="438"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20</w:t>
            </w:r>
          </w:p>
        </w:tc>
      </w:tr>
      <w:tr>
        <w:tblPrEx>
          <w:tblLayout w:type="fixed"/>
          <w:tblCellMar>
            <w:top w:w="0" w:type="dxa"/>
            <w:left w:w="0" w:type="dxa"/>
            <w:bottom w:w="0" w:type="dxa"/>
            <w:right w:w="0" w:type="dxa"/>
          </w:tblCellMar>
        </w:tblPrEx>
        <w:trPr>
          <w:trHeight w:val="438"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580" w:hRule="atLeast"/>
        </w:trPr>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262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承担指导推进和综合协调经济体制改革的责任。研究制定自治州经济体制改革中长期规划和年度工作要点，组织拟订自治州综合性经济体制改革方案，协调有关专项经济体制改革方案；对自治州改革开放重大决策的实施情况进行调查研究、指导和协调；组织编制主体功能区规划及协调实施并进行监测评估；组织制定区域经济协调发展规划和政策；推进西部大开发战略和重大政策的实施；推进自治州城镇化建设。                                                         2021年工作计划：优化资源配置，弥补创新短板，促进产业转型升级，深化经济结构，加快补齐民生短板，推动经济高质量发展迈向新台阶。</w:t>
            </w:r>
          </w:p>
        </w:tc>
      </w:tr>
      <w:tr>
        <w:tblPrEx>
          <w:tblLayout w:type="fixed"/>
          <w:tblCellMar>
            <w:top w:w="0" w:type="dxa"/>
            <w:left w:w="0" w:type="dxa"/>
            <w:bottom w:w="0" w:type="dxa"/>
            <w:right w:w="0" w:type="dxa"/>
          </w:tblCellMar>
        </w:tblPrEx>
        <w:trPr>
          <w:trHeight w:val="72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720" w:hRule="atLeast"/>
        </w:trPr>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数量指标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完成高质量发展研究报告</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1篇</w:t>
            </w:r>
          </w:p>
        </w:tc>
      </w:tr>
      <w:tr>
        <w:tblPrEx>
          <w:tblLayout w:type="fixed"/>
          <w:tblCellMar>
            <w:top w:w="0" w:type="dxa"/>
            <w:left w:w="0" w:type="dxa"/>
            <w:bottom w:w="0" w:type="dxa"/>
            <w:right w:w="0" w:type="dxa"/>
          </w:tblCellMar>
        </w:tblPrEx>
        <w:trPr>
          <w:trHeight w:val="58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质量指标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报告合格率（%）</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≥90%</w:t>
            </w:r>
          </w:p>
        </w:tc>
      </w:tr>
      <w:tr>
        <w:tblPrEx>
          <w:tblLayout w:type="fixed"/>
          <w:tblCellMar>
            <w:top w:w="0" w:type="dxa"/>
            <w:left w:w="0" w:type="dxa"/>
            <w:bottom w:w="0" w:type="dxa"/>
            <w:right w:w="0" w:type="dxa"/>
          </w:tblCellMar>
        </w:tblPrEx>
        <w:trPr>
          <w:trHeight w:val="58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高质量发展研究报告开展时间</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62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高质量发展研究经费</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≤20万元</w:t>
            </w:r>
          </w:p>
        </w:tc>
      </w:tr>
      <w:tr>
        <w:tblPrEx>
          <w:tblLayout w:type="fixed"/>
          <w:tblCellMar>
            <w:top w:w="0" w:type="dxa"/>
            <w:left w:w="0" w:type="dxa"/>
            <w:bottom w:w="0" w:type="dxa"/>
            <w:right w:w="0" w:type="dxa"/>
          </w:tblCellMar>
        </w:tblPrEx>
        <w:trPr>
          <w:trHeight w:val="58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经济效益指标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w:t>
            </w:r>
          </w:p>
        </w:tc>
      </w:tr>
      <w:tr>
        <w:tblPrEx>
          <w:tblLayout w:type="fixed"/>
          <w:tblCellMar>
            <w:top w:w="0" w:type="dxa"/>
            <w:left w:w="0" w:type="dxa"/>
            <w:bottom w:w="0" w:type="dxa"/>
            <w:right w:w="0" w:type="dxa"/>
          </w:tblCellMar>
        </w:tblPrEx>
        <w:trPr>
          <w:trHeight w:val="72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实现经济高质量发展，社会进步、带动就业、提高人民生活水平</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62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Cs w:val="21"/>
                <w:lang w:bidi="ar"/>
              </w:rPr>
              <w:t>可持续影响指标</w:t>
            </w:r>
          </w:p>
        </w:tc>
        <w:tc>
          <w:tcPr>
            <w:tcW w:w="337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综合实力大幅跃升，经济总量和城乡居民人均收入再上新台阶，创新能力显著提高</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740" w:hRule="atLeast"/>
        </w:trPr>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服务群体满意度（%）</w:t>
            </w:r>
          </w:p>
        </w:tc>
        <w:tc>
          <w:tcPr>
            <w:tcW w:w="2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71" w:type="dxa"/>
        <w:tblInd w:w="0" w:type="dxa"/>
        <w:tblLayout w:type="fixed"/>
        <w:tblCellMar>
          <w:top w:w="0" w:type="dxa"/>
          <w:left w:w="0" w:type="dxa"/>
          <w:bottom w:w="0" w:type="dxa"/>
          <w:right w:w="0" w:type="dxa"/>
        </w:tblCellMar>
      </w:tblPr>
      <w:tblGrid>
        <w:gridCol w:w="449"/>
        <w:gridCol w:w="193"/>
        <w:gridCol w:w="447"/>
        <w:gridCol w:w="194"/>
        <w:gridCol w:w="5"/>
        <w:gridCol w:w="82"/>
        <w:gridCol w:w="950"/>
        <w:gridCol w:w="259"/>
        <w:gridCol w:w="129"/>
        <w:gridCol w:w="2980"/>
        <w:gridCol w:w="262"/>
        <w:gridCol w:w="405"/>
        <w:gridCol w:w="2498"/>
        <w:gridCol w:w="18"/>
      </w:tblGrid>
      <w:tr>
        <w:tblPrEx>
          <w:tblLayout w:type="fixed"/>
          <w:tblCellMar>
            <w:top w:w="0" w:type="dxa"/>
            <w:left w:w="0" w:type="dxa"/>
            <w:bottom w:w="0" w:type="dxa"/>
            <w:right w:w="0" w:type="dxa"/>
          </w:tblCellMar>
        </w:tblPrEx>
        <w:trPr>
          <w:gridAfter w:val="1"/>
          <w:wAfter w:w="18" w:type="dxa"/>
          <w:trHeight w:val="675" w:hRule="atLeast"/>
        </w:trPr>
        <w:tc>
          <w:tcPr>
            <w:tcW w:w="8853"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gridAfter w:val="1"/>
          <w:wAfter w:w="18" w:type="dxa"/>
          <w:trHeight w:val="285" w:hRule="atLeast"/>
        </w:trPr>
        <w:tc>
          <w:tcPr>
            <w:tcW w:w="8853"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gridAfter w:val="1"/>
          <w:wAfter w:w="18" w:type="dxa"/>
          <w:trHeight w:val="545" w:hRule="atLeast"/>
        </w:trPr>
        <w:tc>
          <w:tcPr>
            <w:tcW w:w="270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昌吉州1000吨应急成品油储备项目</w:t>
            </w:r>
          </w:p>
        </w:tc>
      </w:tr>
      <w:tr>
        <w:tblPrEx>
          <w:tblLayout w:type="fixed"/>
          <w:tblCellMar>
            <w:top w:w="0" w:type="dxa"/>
            <w:left w:w="0" w:type="dxa"/>
            <w:bottom w:w="0" w:type="dxa"/>
            <w:right w:w="0" w:type="dxa"/>
          </w:tblCellMar>
        </w:tblPrEx>
        <w:trPr>
          <w:gridAfter w:val="1"/>
          <w:wAfter w:w="18" w:type="dxa"/>
          <w:trHeight w:val="475" w:hRule="atLeast"/>
        </w:trPr>
        <w:tc>
          <w:tcPr>
            <w:tcW w:w="270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昌吉州发改委</w:t>
            </w:r>
          </w:p>
        </w:tc>
      </w:tr>
      <w:tr>
        <w:tblPrEx>
          <w:tblLayout w:type="fixed"/>
          <w:tblCellMar>
            <w:top w:w="0" w:type="dxa"/>
            <w:left w:w="0" w:type="dxa"/>
            <w:bottom w:w="0" w:type="dxa"/>
            <w:right w:w="0" w:type="dxa"/>
          </w:tblCellMar>
        </w:tblPrEx>
        <w:trPr>
          <w:gridAfter w:val="1"/>
          <w:wAfter w:w="18" w:type="dxa"/>
          <w:trHeight w:val="445" w:hRule="atLeast"/>
        </w:trPr>
        <w:tc>
          <w:tcPr>
            <w:tcW w:w="270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年度资金总额：50万元</w:t>
            </w:r>
          </w:p>
        </w:tc>
      </w:tr>
      <w:tr>
        <w:tblPrEx>
          <w:tblLayout w:type="fixed"/>
          <w:tblCellMar>
            <w:top w:w="0" w:type="dxa"/>
            <w:left w:w="0" w:type="dxa"/>
            <w:bottom w:w="0" w:type="dxa"/>
            <w:right w:w="0" w:type="dxa"/>
          </w:tblCellMar>
        </w:tblPrEx>
        <w:trPr>
          <w:gridAfter w:val="1"/>
          <w:wAfter w:w="18" w:type="dxa"/>
          <w:trHeight w:val="425" w:hRule="atLeast"/>
        </w:trPr>
        <w:tc>
          <w:tcPr>
            <w:tcW w:w="270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50万元</w:t>
            </w:r>
          </w:p>
        </w:tc>
      </w:tr>
      <w:tr>
        <w:tblPrEx>
          <w:tblLayout w:type="fixed"/>
          <w:tblCellMar>
            <w:top w:w="0" w:type="dxa"/>
            <w:left w:w="0" w:type="dxa"/>
            <w:bottom w:w="0" w:type="dxa"/>
            <w:right w:w="0" w:type="dxa"/>
          </w:tblCellMar>
        </w:tblPrEx>
        <w:trPr>
          <w:gridAfter w:val="1"/>
          <w:wAfter w:w="18" w:type="dxa"/>
          <w:trHeight w:val="395" w:hRule="atLeast"/>
        </w:trPr>
        <w:tc>
          <w:tcPr>
            <w:tcW w:w="270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1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gridAfter w:val="1"/>
          <w:wAfter w:w="18" w:type="dxa"/>
          <w:trHeight w:val="395"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1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gridAfter w:val="1"/>
          <w:wAfter w:w="18" w:type="dxa"/>
          <w:trHeight w:val="1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1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昌吉州1000吨应急成品油储备项目,由昌粮集团昌吉国家粮食储备库（储油中心）承储。确保储存设施完备，储存安全；储备相对集中，有利于管理，节约成本；储存地轮入粮源充足,便于轮换周转；储存地交通便利，调运快捷。确保2021年州人民政府急需时调控使用，为应对各种突发事件发生和全州在非常时期的军需民食提供有力保障。</w:t>
            </w:r>
          </w:p>
        </w:tc>
      </w:tr>
      <w:tr>
        <w:tblPrEx>
          <w:tblLayout w:type="fixed"/>
          <w:tblCellMar>
            <w:top w:w="0" w:type="dxa"/>
            <w:left w:w="0" w:type="dxa"/>
            <w:bottom w:w="0" w:type="dxa"/>
            <w:right w:w="0" w:type="dxa"/>
          </w:tblCellMar>
        </w:tblPrEx>
        <w:trPr>
          <w:gridAfter w:val="1"/>
          <w:wAfter w:w="18" w:type="dxa"/>
          <w:trHeight w:val="600" w:hRule="atLeast"/>
        </w:trPr>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728"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3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4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gridAfter w:val="1"/>
          <w:wAfter w:w="18" w:type="dxa"/>
          <w:trHeight w:val="495" w:hRule="atLeast"/>
        </w:trPr>
        <w:tc>
          <w:tcPr>
            <w:tcW w:w="642" w:type="dxa"/>
            <w:gridSpan w:val="2"/>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绩效指标</w:t>
            </w:r>
          </w:p>
        </w:tc>
        <w:tc>
          <w:tcPr>
            <w:tcW w:w="72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338" w:type="dxa"/>
            <w:gridSpan w:val="3"/>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647"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储备成品油数量(吨)</w:t>
            </w:r>
          </w:p>
        </w:tc>
        <w:tc>
          <w:tcPr>
            <w:tcW w:w="24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1000吨</w:t>
            </w:r>
          </w:p>
        </w:tc>
      </w:tr>
      <w:tr>
        <w:tblPrEx>
          <w:tblLayout w:type="fixed"/>
          <w:tblCellMar>
            <w:top w:w="0" w:type="dxa"/>
            <w:left w:w="0" w:type="dxa"/>
            <w:bottom w:w="0" w:type="dxa"/>
            <w:right w:w="0" w:type="dxa"/>
          </w:tblCellMar>
        </w:tblPrEx>
        <w:trPr>
          <w:gridAfter w:val="1"/>
          <w:wAfter w:w="18" w:type="dxa"/>
          <w:trHeight w:val="535"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3647" w:type="dxa"/>
            <w:gridSpan w:val="3"/>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储备成品油实施监测次数(次)</w:t>
            </w:r>
          </w:p>
        </w:tc>
        <w:tc>
          <w:tcPr>
            <w:tcW w:w="2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2次</w:t>
            </w:r>
          </w:p>
        </w:tc>
      </w:tr>
      <w:tr>
        <w:tblPrEx>
          <w:tblLayout w:type="fixed"/>
          <w:tblCellMar>
            <w:top w:w="0" w:type="dxa"/>
            <w:left w:w="0" w:type="dxa"/>
            <w:bottom w:w="0" w:type="dxa"/>
            <w:right w:w="0" w:type="dxa"/>
          </w:tblCellMar>
        </w:tblPrEx>
        <w:trPr>
          <w:gridAfter w:val="1"/>
          <w:wAfter w:w="18" w:type="dxa"/>
          <w:trHeight w:val="51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647" w:type="dxa"/>
            <w:gridSpan w:val="3"/>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储备成品油数量真实率(％)</w:t>
            </w:r>
          </w:p>
        </w:tc>
        <w:tc>
          <w:tcPr>
            <w:tcW w:w="249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15"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储备成品油质量完好率(％)</w:t>
            </w:r>
          </w:p>
        </w:tc>
        <w:tc>
          <w:tcPr>
            <w:tcW w:w="24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455"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仓库安防设施达标率(%)</w:t>
            </w:r>
          </w:p>
        </w:tc>
        <w:tc>
          <w:tcPr>
            <w:tcW w:w="24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60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储备成品油应急保障率(％)</w:t>
            </w:r>
          </w:p>
        </w:tc>
        <w:tc>
          <w:tcPr>
            <w:tcW w:w="24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0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各项工作开展时间</w:t>
            </w:r>
          </w:p>
        </w:tc>
        <w:tc>
          <w:tcPr>
            <w:tcW w:w="24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gridAfter w:val="1"/>
          <w:wAfter w:w="18" w:type="dxa"/>
          <w:trHeight w:val="72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储备成品油利息、保管费等（万元）</w:t>
            </w:r>
          </w:p>
        </w:tc>
        <w:tc>
          <w:tcPr>
            <w:tcW w:w="2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≤50万元</w:t>
            </w:r>
          </w:p>
        </w:tc>
      </w:tr>
      <w:tr>
        <w:tblPrEx>
          <w:tblLayout w:type="fixed"/>
          <w:tblCellMar>
            <w:top w:w="0" w:type="dxa"/>
            <w:left w:w="0" w:type="dxa"/>
            <w:bottom w:w="0" w:type="dxa"/>
            <w:right w:w="0" w:type="dxa"/>
          </w:tblCellMar>
        </w:tblPrEx>
        <w:trPr>
          <w:gridAfter w:val="1"/>
          <w:wAfter w:w="18" w:type="dxa"/>
          <w:trHeight w:val="85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338"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经济效益指标</w:t>
            </w:r>
          </w:p>
        </w:tc>
        <w:tc>
          <w:tcPr>
            <w:tcW w:w="3647"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建立完善粮食储备体系，确保粮食存储安全，节约成本。</w:t>
            </w:r>
          </w:p>
        </w:tc>
        <w:tc>
          <w:tcPr>
            <w:tcW w:w="24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节约</w:t>
            </w:r>
          </w:p>
        </w:tc>
      </w:tr>
      <w:tr>
        <w:tblPrEx>
          <w:tblLayout w:type="fixed"/>
          <w:tblCellMar>
            <w:top w:w="0" w:type="dxa"/>
            <w:left w:w="0" w:type="dxa"/>
            <w:bottom w:w="0" w:type="dxa"/>
            <w:right w:w="0" w:type="dxa"/>
          </w:tblCellMar>
        </w:tblPrEx>
        <w:trPr>
          <w:gridAfter w:val="1"/>
          <w:wAfter w:w="18" w:type="dxa"/>
          <w:trHeight w:val="840"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338" w:type="dxa"/>
            <w:gridSpan w:val="3"/>
            <w:tcBorders>
              <w:top w:val="single" w:color="000000" w:sz="4" w:space="0"/>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社会效益指标</w:t>
            </w:r>
          </w:p>
        </w:tc>
        <w:tc>
          <w:tcPr>
            <w:tcW w:w="3647"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Cs w:val="21"/>
                <w:lang w:bidi="ar"/>
              </w:rPr>
              <w:t>构筑昌吉州粮食安全体系，确保粮食市场价格稳定，保障军需民食。</w:t>
            </w:r>
          </w:p>
        </w:tc>
        <w:tc>
          <w:tcPr>
            <w:tcW w:w="24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保障</w:t>
            </w:r>
          </w:p>
        </w:tc>
      </w:tr>
      <w:tr>
        <w:tblPrEx>
          <w:tblLayout w:type="fixed"/>
          <w:tblCellMar>
            <w:top w:w="0" w:type="dxa"/>
            <w:left w:w="0" w:type="dxa"/>
            <w:bottom w:w="0" w:type="dxa"/>
            <w:right w:w="0" w:type="dxa"/>
          </w:tblCellMar>
        </w:tblPrEx>
        <w:trPr>
          <w:gridAfter w:val="1"/>
          <w:wAfter w:w="18" w:type="dxa"/>
          <w:trHeight w:val="861" w:hRule="atLeast"/>
        </w:trPr>
        <w:tc>
          <w:tcPr>
            <w:tcW w:w="642"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7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3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服务满意度指标</w:t>
            </w:r>
          </w:p>
        </w:tc>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群众满意度</w:t>
            </w:r>
          </w:p>
        </w:tc>
        <w:tc>
          <w:tcPr>
            <w:tcW w:w="2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18" w:type="dxa"/>
          <w:trHeight w:val="675" w:hRule="atLeast"/>
        </w:trPr>
        <w:tc>
          <w:tcPr>
            <w:tcW w:w="8853"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gridAfter w:val="1"/>
          <w:wAfter w:w="18" w:type="dxa"/>
          <w:trHeight w:val="285" w:hRule="atLeast"/>
        </w:trPr>
        <w:tc>
          <w:tcPr>
            <w:tcW w:w="8853"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gridAfter w:val="1"/>
          <w:wAfter w:w="18" w:type="dxa"/>
          <w:trHeight w:val="540" w:hRule="atLeast"/>
        </w:trPr>
        <w:tc>
          <w:tcPr>
            <w:tcW w:w="232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5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昌吉州10000吨原粮储备项目</w:t>
            </w:r>
          </w:p>
        </w:tc>
      </w:tr>
      <w:tr>
        <w:tblPrEx>
          <w:tblLayout w:type="fixed"/>
          <w:tblCellMar>
            <w:top w:w="0" w:type="dxa"/>
            <w:left w:w="0" w:type="dxa"/>
            <w:bottom w:w="0" w:type="dxa"/>
            <w:right w:w="0" w:type="dxa"/>
          </w:tblCellMar>
        </w:tblPrEx>
        <w:trPr>
          <w:gridAfter w:val="1"/>
          <w:wAfter w:w="18" w:type="dxa"/>
          <w:trHeight w:val="540" w:hRule="atLeast"/>
        </w:trPr>
        <w:tc>
          <w:tcPr>
            <w:tcW w:w="232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5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昌吉州发改委</w:t>
            </w:r>
          </w:p>
        </w:tc>
      </w:tr>
      <w:tr>
        <w:tblPrEx>
          <w:tblLayout w:type="fixed"/>
          <w:tblCellMar>
            <w:top w:w="0" w:type="dxa"/>
            <w:left w:w="0" w:type="dxa"/>
            <w:bottom w:w="0" w:type="dxa"/>
            <w:right w:w="0" w:type="dxa"/>
          </w:tblCellMar>
        </w:tblPrEx>
        <w:trPr>
          <w:gridAfter w:val="1"/>
          <w:wAfter w:w="18" w:type="dxa"/>
          <w:trHeight w:val="540" w:hRule="atLeast"/>
        </w:trPr>
        <w:tc>
          <w:tcPr>
            <w:tcW w:w="2320"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5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年度资金总额：265万元</w:t>
            </w:r>
          </w:p>
        </w:tc>
      </w:tr>
      <w:tr>
        <w:tblPrEx>
          <w:tblLayout w:type="fixed"/>
          <w:tblCellMar>
            <w:top w:w="0" w:type="dxa"/>
            <w:left w:w="0" w:type="dxa"/>
            <w:bottom w:w="0" w:type="dxa"/>
            <w:right w:w="0" w:type="dxa"/>
          </w:tblCellMar>
        </w:tblPrEx>
        <w:trPr>
          <w:gridAfter w:val="1"/>
          <w:wAfter w:w="18" w:type="dxa"/>
          <w:trHeight w:val="540" w:hRule="atLeast"/>
        </w:trPr>
        <w:tc>
          <w:tcPr>
            <w:tcW w:w="232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5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265万元</w:t>
            </w:r>
          </w:p>
        </w:tc>
      </w:tr>
      <w:tr>
        <w:tblPrEx>
          <w:tblLayout w:type="fixed"/>
          <w:tblCellMar>
            <w:top w:w="0" w:type="dxa"/>
            <w:left w:w="0" w:type="dxa"/>
            <w:bottom w:w="0" w:type="dxa"/>
            <w:right w:w="0" w:type="dxa"/>
          </w:tblCellMar>
        </w:tblPrEx>
        <w:trPr>
          <w:gridAfter w:val="1"/>
          <w:wAfter w:w="18" w:type="dxa"/>
          <w:trHeight w:val="540" w:hRule="atLeast"/>
        </w:trPr>
        <w:tc>
          <w:tcPr>
            <w:tcW w:w="232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53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gridAfter w:val="1"/>
          <w:wAfter w:w="18" w:type="dxa"/>
          <w:trHeight w:val="41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40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gridAfter w:val="1"/>
          <w:wAfter w:w="18" w:type="dxa"/>
          <w:trHeight w:val="18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40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昌吉州10000吨原粮储备项目,分别由昌粮集团阜康粮油有限责任公司、益海（昌吉）粮油工业有限公司承储。确保储存设施完备，储存安全；储备相对集中，有利于管理，节约成本；储存地轮入粮源充足,便于轮换周转；储存地交通便利，调运快捷。确保2021年州人民政府急需时调控使用,为应对各种突发事件发生和全州在非常时期的军需民食提供有力保障。2021年原粮储备项目为非轮换年，需储备费用165万元。</w:t>
            </w:r>
          </w:p>
        </w:tc>
      </w:tr>
      <w:tr>
        <w:tblPrEx>
          <w:tblLayout w:type="fixed"/>
          <w:tblCellMar>
            <w:top w:w="0" w:type="dxa"/>
            <w:left w:w="0" w:type="dxa"/>
            <w:bottom w:w="0" w:type="dxa"/>
            <w:right w:w="0" w:type="dxa"/>
          </w:tblCellMar>
        </w:tblPrEx>
        <w:trPr>
          <w:gridAfter w:val="1"/>
          <w:wAfter w:w="18" w:type="dxa"/>
          <w:trHeight w:val="69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3165"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绩效指标</w:t>
            </w:r>
          </w:p>
        </w:tc>
        <w:tc>
          <w:tcPr>
            <w:tcW w:w="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31" w:type="dxa"/>
            <w:gridSpan w:val="4"/>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68"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储备原粮数量(吨)</w:t>
            </w:r>
          </w:p>
        </w:tc>
        <w:tc>
          <w:tcPr>
            <w:tcW w:w="31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10000吨</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68" w:type="dxa"/>
            <w:gridSpan w:val="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储备原粮实施监测次数(次)</w:t>
            </w:r>
          </w:p>
        </w:tc>
        <w:tc>
          <w:tcPr>
            <w:tcW w:w="316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2次</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68" w:type="dxa"/>
            <w:gridSpan w:val="3"/>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储备原粮数量真实率(％)</w:t>
            </w:r>
          </w:p>
        </w:tc>
        <w:tc>
          <w:tcPr>
            <w:tcW w:w="31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储备原粮质量完好率(％)</w:t>
            </w:r>
          </w:p>
        </w:tc>
        <w:tc>
          <w:tcPr>
            <w:tcW w:w="316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仓库安防设施达标率(%)</w:t>
            </w:r>
          </w:p>
        </w:tc>
        <w:tc>
          <w:tcPr>
            <w:tcW w:w="316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储备原粮应急保障率(％)</w:t>
            </w:r>
          </w:p>
        </w:tc>
        <w:tc>
          <w:tcPr>
            <w:tcW w:w="316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gridAfter w:val="1"/>
          <w:wAfter w:w="18" w:type="dxa"/>
          <w:trHeight w:val="5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各项工作开展时间</w:t>
            </w:r>
          </w:p>
        </w:tc>
        <w:tc>
          <w:tcPr>
            <w:tcW w:w="316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gridAfter w:val="1"/>
          <w:wAfter w:w="18" w:type="dxa"/>
          <w:trHeight w:val="61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储备原粮利息、保管费等（万元）</w:t>
            </w:r>
          </w:p>
        </w:tc>
        <w:tc>
          <w:tcPr>
            <w:tcW w:w="31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≤265万元</w:t>
            </w:r>
          </w:p>
        </w:tc>
      </w:tr>
      <w:tr>
        <w:tblPrEx>
          <w:tblLayout w:type="fixed"/>
          <w:tblCellMar>
            <w:top w:w="0" w:type="dxa"/>
            <w:left w:w="0" w:type="dxa"/>
            <w:bottom w:w="0" w:type="dxa"/>
            <w:right w:w="0" w:type="dxa"/>
          </w:tblCellMar>
        </w:tblPrEx>
        <w:trPr>
          <w:gridAfter w:val="1"/>
          <w:wAfter w:w="18" w:type="dxa"/>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31"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经济效益指标</w:t>
            </w:r>
          </w:p>
        </w:tc>
        <w:tc>
          <w:tcPr>
            <w:tcW w:w="3368"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建立完善粮食储备体系，确保粮食存储安全，节约存储成本。</w:t>
            </w:r>
          </w:p>
        </w:tc>
        <w:tc>
          <w:tcPr>
            <w:tcW w:w="3165"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节约</w:t>
            </w:r>
          </w:p>
        </w:tc>
      </w:tr>
      <w:tr>
        <w:tblPrEx>
          <w:tblLayout w:type="fixed"/>
          <w:tblCellMar>
            <w:top w:w="0" w:type="dxa"/>
            <w:left w:w="0" w:type="dxa"/>
            <w:bottom w:w="0" w:type="dxa"/>
            <w:right w:w="0" w:type="dxa"/>
          </w:tblCellMar>
        </w:tblPrEx>
        <w:trPr>
          <w:gridAfter w:val="1"/>
          <w:wAfter w:w="18" w:type="dxa"/>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31" w:type="dxa"/>
            <w:gridSpan w:val="4"/>
            <w:tcBorders>
              <w:top w:val="single" w:color="000000" w:sz="4" w:space="0"/>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68"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构筑昌吉州粮食安全体系，确保粮食市场价格稳定，保障军需民食。</w:t>
            </w:r>
          </w:p>
        </w:tc>
        <w:tc>
          <w:tcPr>
            <w:tcW w:w="3165"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保障</w:t>
            </w:r>
          </w:p>
        </w:tc>
      </w:tr>
      <w:tr>
        <w:tblPrEx>
          <w:tblLayout w:type="fixed"/>
          <w:tblCellMar>
            <w:top w:w="0" w:type="dxa"/>
            <w:left w:w="0" w:type="dxa"/>
            <w:bottom w:w="0" w:type="dxa"/>
            <w:right w:w="0" w:type="dxa"/>
          </w:tblCellMar>
        </w:tblPrEx>
        <w:trPr>
          <w:gridAfter w:val="1"/>
          <w:wAfter w:w="18" w:type="dxa"/>
          <w:trHeight w:val="9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服务满意度</w:t>
            </w:r>
          </w:p>
        </w:tc>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服务对象满意度</w:t>
            </w:r>
          </w:p>
        </w:tc>
        <w:tc>
          <w:tcPr>
            <w:tcW w:w="33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群众满意度</w:t>
            </w:r>
          </w:p>
        </w:tc>
        <w:tc>
          <w:tcPr>
            <w:tcW w:w="31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trHeight w:val="67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8"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救灾物资储备专项经费</w:t>
            </w:r>
          </w:p>
        </w:tc>
      </w:tr>
      <w:tr>
        <w:tblPrEx>
          <w:tblLayout w:type="fixed"/>
          <w:tblCellMar>
            <w:top w:w="0" w:type="dxa"/>
            <w:left w:w="0" w:type="dxa"/>
            <w:bottom w:w="0" w:type="dxa"/>
            <w:right w:w="0" w:type="dxa"/>
          </w:tblCellMar>
        </w:tblPrEx>
        <w:trPr>
          <w:trHeight w:val="438"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470" w:hRule="atLeast"/>
        </w:trPr>
        <w:tc>
          <w:tcPr>
            <w:tcW w:w="257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年度资金总额：18</w:t>
            </w:r>
          </w:p>
        </w:tc>
      </w:tr>
      <w:tr>
        <w:tblPrEx>
          <w:tblLayout w:type="fixed"/>
          <w:tblCellMar>
            <w:top w:w="0" w:type="dxa"/>
            <w:left w:w="0" w:type="dxa"/>
            <w:bottom w:w="0" w:type="dxa"/>
            <w:right w:w="0" w:type="dxa"/>
          </w:tblCellMar>
        </w:tblPrEx>
        <w:trPr>
          <w:trHeight w:val="438"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其中：财政拨款  18</w:t>
            </w:r>
          </w:p>
        </w:tc>
      </w:tr>
      <w:tr>
        <w:tblPrEx>
          <w:tblLayout w:type="fixed"/>
          <w:tblCellMar>
            <w:top w:w="0" w:type="dxa"/>
            <w:left w:w="0" w:type="dxa"/>
            <w:bottom w:w="0" w:type="dxa"/>
            <w:right w:w="0" w:type="dxa"/>
          </w:tblCellMar>
        </w:tblPrEx>
        <w:trPr>
          <w:trHeight w:val="438"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其他资金  0</w:t>
            </w:r>
          </w:p>
        </w:tc>
      </w:tr>
      <w:tr>
        <w:tblPrEx>
          <w:tblLayout w:type="fixed"/>
          <w:tblCellMar>
            <w:top w:w="0" w:type="dxa"/>
            <w:left w:w="0" w:type="dxa"/>
            <w:bottom w:w="0" w:type="dxa"/>
            <w:right w:w="0" w:type="dxa"/>
          </w:tblCellMar>
        </w:tblPrEx>
        <w:trPr>
          <w:trHeight w:val="35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196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职能：制定自治州粮食宏观调控、总量平衡及粮食流通、进出口、储备中长期规划、年度收支计划；提出全州粮油流通产业政策、产业结构和县（市）布局意见；提出全州粮油市场体系建设规划和布局的建议。                                2021年工作计划：为保证救灾物资安全管理，申请财政专项经费委托存放，购买社会服务进行管理，对新增采购的100万元救灾物资进行搬倒整理，待州本级救灾物资储备库建成验收后再进行搬迁。</w:t>
            </w:r>
          </w:p>
        </w:tc>
      </w:tr>
      <w:tr>
        <w:tblPrEx>
          <w:tblLayout w:type="fixed"/>
          <w:tblCellMar>
            <w:top w:w="0" w:type="dxa"/>
            <w:left w:w="0" w:type="dxa"/>
            <w:bottom w:w="0" w:type="dxa"/>
            <w:right w:w="0" w:type="dxa"/>
          </w:tblCellMar>
        </w:tblPrEx>
        <w:trPr>
          <w:trHeight w:val="560" w:hRule="atLeast"/>
        </w:trPr>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64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签订租库合同年租金</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68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进行应急救灾物资搬倒整理</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5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签订合同租库达标率（%）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7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进行应急救灾物资搬倒整理达标率（%）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64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租库、应急救灾物资搬倒整理完成及时率（%）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6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各项工作开展时间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84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租库、应急救灾物资搬倒整理等费用总额</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≤18万元</w:t>
            </w:r>
          </w:p>
        </w:tc>
      </w:tr>
      <w:tr>
        <w:tblPrEx>
          <w:tblLayout w:type="fixed"/>
          <w:tblCellMar>
            <w:top w:w="0" w:type="dxa"/>
            <w:left w:w="0" w:type="dxa"/>
            <w:bottom w:w="0" w:type="dxa"/>
            <w:right w:w="0" w:type="dxa"/>
          </w:tblCellMar>
        </w:tblPrEx>
        <w:trPr>
          <w:trHeight w:val="76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救灾物资库存数量真实、质量良好、储存安全</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84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可持续影响指标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救灾物资管理安全，应急状况下调得动、用得上</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6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服务群体满意度</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trHeight w:val="67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380"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粮食流通监督检查业务经费</w:t>
            </w:r>
          </w:p>
        </w:tc>
      </w:tr>
      <w:tr>
        <w:tblPrEx>
          <w:tblLayout w:type="fixed"/>
          <w:tblCellMar>
            <w:top w:w="0" w:type="dxa"/>
            <w:left w:w="0" w:type="dxa"/>
            <w:bottom w:w="0" w:type="dxa"/>
            <w:right w:w="0" w:type="dxa"/>
          </w:tblCellMar>
        </w:tblPrEx>
        <w:trPr>
          <w:trHeight w:val="380"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380" w:hRule="atLeast"/>
        </w:trPr>
        <w:tc>
          <w:tcPr>
            <w:tcW w:w="257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年度资金总额：6</w:t>
            </w:r>
          </w:p>
        </w:tc>
      </w:tr>
      <w:tr>
        <w:tblPrEx>
          <w:tblLayout w:type="fixed"/>
          <w:tblCellMar>
            <w:top w:w="0" w:type="dxa"/>
            <w:left w:w="0" w:type="dxa"/>
            <w:bottom w:w="0" w:type="dxa"/>
            <w:right w:w="0" w:type="dxa"/>
          </w:tblCellMar>
        </w:tblPrEx>
        <w:trPr>
          <w:trHeight w:val="380"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6</w:t>
            </w:r>
          </w:p>
        </w:tc>
      </w:tr>
      <w:tr>
        <w:tblPrEx>
          <w:tblLayout w:type="fixed"/>
          <w:tblCellMar>
            <w:top w:w="0" w:type="dxa"/>
            <w:left w:w="0" w:type="dxa"/>
            <w:bottom w:w="0" w:type="dxa"/>
            <w:right w:w="0" w:type="dxa"/>
          </w:tblCellMar>
        </w:tblPrEx>
        <w:trPr>
          <w:trHeight w:val="380"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38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9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Cs w:val="21"/>
                <w:lang w:bidi="ar"/>
              </w:rPr>
              <w:t>职能：昌吉州发改委是综合研究提出自治州国民经济和社会发展战略，进行总量平衡、产业布局、结构调整，指导自治州总体经济体制改革，主管固定资产投资、争取上级补助资金、项目审批、重点项目管理及价格管理、粮食流通、粮食储备等工作的综合经济管理部门。                                               2020年工作计划：一是开展夏粮收购过程中的联合执法检查，确保夏粮收购有序进行，保护种粮农民利益。二是严格按照12325热线管理的有关规定，做好涉粮案件查处工作，认真履行法定程序，进一步拓宽社会监督渠道。三是配合其他科室开展对地方储备粮油、应急面粉、安全生产的检查，确保储备粮油和应急粮油数量真实、质量良好，生产安全。四是配合开展粮食流通统计制度的检查，坚决打击弄虚作假、违规瞒报、篡改等违法行为，确保全州粮食流通统计数据全面真实，为调控指导全州粮食购销平衡提供有力的数据支持。五是加强与各县市、相关部门的协调沟通，做好秋粮收购工作，及时发现存在的问题和困难，保障种粮农民利益。</w:t>
            </w:r>
          </w:p>
        </w:tc>
      </w:tr>
      <w:tr>
        <w:tblPrEx>
          <w:tblLayout w:type="fixed"/>
          <w:tblCellMar>
            <w:top w:w="0" w:type="dxa"/>
            <w:left w:w="0" w:type="dxa"/>
            <w:bottom w:w="0" w:type="dxa"/>
            <w:right w:w="0" w:type="dxa"/>
          </w:tblCellMar>
        </w:tblPrEx>
        <w:trPr>
          <w:trHeight w:val="539" w:hRule="atLeast"/>
        </w:trPr>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41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开展夏粮收购执法检查</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41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开展粮食安全生产检查</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=4批次</w:t>
            </w:r>
          </w:p>
        </w:tc>
      </w:tr>
      <w:tr>
        <w:tblPrEx>
          <w:tblLayout w:type="fixed"/>
          <w:tblCellMar>
            <w:top w:w="0" w:type="dxa"/>
            <w:left w:w="0" w:type="dxa"/>
            <w:bottom w:w="0" w:type="dxa"/>
            <w:right w:w="0" w:type="dxa"/>
          </w:tblCellMar>
        </w:tblPrEx>
        <w:trPr>
          <w:trHeight w:val="48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开展地方储备粮油、应急面粉检查</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=2批次</w:t>
            </w:r>
          </w:p>
        </w:tc>
      </w:tr>
      <w:tr>
        <w:tblPrEx>
          <w:tblLayout w:type="fixed"/>
          <w:tblCellMar>
            <w:top w:w="0" w:type="dxa"/>
            <w:left w:w="0" w:type="dxa"/>
            <w:bottom w:w="0" w:type="dxa"/>
            <w:right w:w="0" w:type="dxa"/>
          </w:tblCellMar>
        </w:tblPrEx>
        <w:trPr>
          <w:trHeight w:val="38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开展粮食库存检查</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3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夏粮收购执法检查达标率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5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粮食安全生产检查达标率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4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地方储备粮油、应急面粉检查达标率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6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开展粮食库存检查达标率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29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检查完成及时率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29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各项工作开展时间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27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检查费用</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≤6万元</w:t>
            </w:r>
          </w:p>
        </w:tc>
      </w:tr>
      <w:tr>
        <w:tblPrEx>
          <w:tblLayout w:type="fixed"/>
          <w:tblCellMar>
            <w:top w:w="0" w:type="dxa"/>
            <w:left w:w="0" w:type="dxa"/>
            <w:bottom w:w="0" w:type="dxa"/>
            <w:right w:w="0" w:type="dxa"/>
          </w:tblCellMar>
        </w:tblPrEx>
        <w:trPr>
          <w:trHeight w:val="64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粮食库存质量好、数量真实、市场安全，提高粮食安全</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545"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可持续影响指标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持续保持粮食市场秩序良好</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489"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服务群体满意度（%）</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trHeight w:val="67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1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9"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粮油质检中心提标改造经费</w:t>
            </w:r>
          </w:p>
        </w:tc>
      </w:tr>
      <w:tr>
        <w:tblPrEx>
          <w:tblLayout w:type="fixed"/>
          <w:tblCellMar>
            <w:top w:w="0" w:type="dxa"/>
            <w:left w:w="0" w:type="dxa"/>
            <w:bottom w:w="0" w:type="dxa"/>
            <w:right w:w="0" w:type="dxa"/>
          </w:tblCellMar>
        </w:tblPrEx>
        <w:trPr>
          <w:trHeight w:val="439" w:hRule="atLeast"/>
        </w:trPr>
        <w:tc>
          <w:tcPr>
            <w:tcW w:w="257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560" w:hRule="atLeast"/>
        </w:trPr>
        <w:tc>
          <w:tcPr>
            <w:tcW w:w="2579"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年度资金总额：30</w:t>
            </w:r>
          </w:p>
        </w:tc>
      </w:tr>
      <w:tr>
        <w:tblPrEx>
          <w:tblLayout w:type="fixed"/>
          <w:tblCellMar>
            <w:top w:w="0" w:type="dxa"/>
            <w:left w:w="0" w:type="dxa"/>
            <w:bottom w:w="0" w:type="dxa"/>
            <w:right w:w="0" w:type="dxa"/>
          </w:tblCellMar>
        </w:tblPrEx>
        <w:trPr>
          <w:trHeight w:val="439"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30</w:t>
            </w:r>
          </w:p>
        </w:tc>
      </w:tr>
      <w:tr>
        <w:tblPrEx>
          <w:tblLayout w:type="fixed"/>
          <w:tblCellMar>
            <w:top w:w="0" w:type="dxa"/>
            <w:left w:w="0" w:type="dxa"/>
            <w:bottom w:w="0" w:type="dxa"/>
            <w:right w:w="0" w:type="dxa"/>
          </w:tblCellMar>
        </w:tblPrEx>
        <w:trPr>
          <w:trHeight w:val="439" w:hRule="atLeast"/>
        </w:trPr>
        <w:tc>
          <w:tcPr>
            <w:tcW w:w="2579"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48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232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2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负责自治州粮食流通的行政管理和行业指导，对有关粮食流通的政策法规执行情况进行监督；管理地方储备粮油，监督检查自治州周转粮油的储存安全，核拨费用和利息及超储备费用补贴以及军供粮油补贴；保障军需民用和各种紧急特殊用粮；协调、指导自治州粮油质量的监督。                                  2021年工作计划：满足新增实验药剂购买及存放标准，符合办理易制爆、易制毒化学品购买许可证条件，完成提标改造、并运行维护，确保昌吉州粮油质检工作保持在自治区前列。</w:t>
            </w:r>
          </w:p>
        </w:tc>
      </w:tr>
      <w:tr>
        <w:tblPrEx>
          <w:tblLayout w:type="fixed"/>
          <w:tblCellMar>
            <w:top w:w="0" w:type="dxa"/>
            <w:left w:w="0" w:type="dxa"/>
            <w:bottom w:w="0" w:type="dxa"/>
            <w:right w:w="0" w:type="dxa"/>
          </w:tblCellMar>
        </w:tblPrEx>
        <w:trPr>
          <w:trHeight w:val="700" w:hRule="atLeast"/>
        </w:trPr>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620" w:hRule="atLeast"/>
        </w:trPr>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w:t>
            </w:r>
          </w:p>
        </w:tc>
        <w:tc>
          <w:tcPr>
            <w:tcW w:w="12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24小时高清视频监控全覆盖</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=1次</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实验区域改造</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=1次</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新增专用防爆储存设备（批)</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各项工作完成率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改造完成及时率（%）</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各项工作开展时间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5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改造及运行费用</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≤30万元</w:t>
            </w:r>
          </w:p>
        </w:tc>
      </w:tr>
      <w:tr>
        <w:tblPrEx>
          <w:tblLayout w:type="fixed"/>
          <w:tblCellMar>
            <w:top w:w="0" w:type="dxa"/>
            <w:left w:w="0" w:type="dxa"/>
            <w:bottom w:w="0" w:type="dxa"/>
            <w:right w:w="0" w:type="dxa"/>
          </w:tblCellMar>
        </w:tblPrEx>
        <w:trPr>
          <w:trHeight w:val="6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1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保障粮食安全，提高居民生活水平</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60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持续监督粮食质量安全</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840" w:hRule="atLeast"/>
        </w:trPr>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服务对象满意度指标</w:t>
            </w:r>
          </w:p>
        </w:tc>
        <w:tc>
          <w:tcPr>
            <w:tcW w:w="33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服务群体满意度（%）</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71" w:type="dxa"/>
        <w:tblInd w:w="0" w:type="dxa"/>
        <w:tblLayout w:type="fixed"/>
        <w:tblCellMar>
          <w:top w:w="0" w:type="dxa"/>
          <w:left w:w="0" w:type="dxa"/>
          <w:bottom w:w="0" w:type="dxa"/>
          <w:right w:w="0" w:type="dxa"/>
        </w:tblCellMar>
      </w:tblPr>
      <w:tblGrid>
        <w:gridCol w:w="643"/>
        <w:gridCol w:w="644"/>
        <w:gridCol w:w="1290"/>
        <w:gridCol w:w="3374"/>
        <w:gridCol w:w="2920"/>
      </w:tblGrid>
      <w:tr>
        <w:tblPrEx>
          <w:tblLayout w:type="fixed"/>
          <w:tblCellMar>
            <w:top w:w="0" w:type="dxa"/>
            <w:left w:w="0" w:type="dxa"/>
            <w:bottom w:w="0" w:type="dxa"/>
            <w:right w:w="0" w:type="dxa"/>
          </w:tblCellMar>
        </w:tblPrEx>
        <w:trPr>
          <w:trHeight w:val="675" w:hRule="atLeast"/>
        </w:trPr>
        <w:tc>
          <w:tcPr>
            <w:tcW w:w="887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9"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粮油质量检测工作经费</w:t>
            </w:r>
          </w:p>
        </w:tc>
      </w:tr>
      <w:tr>
        <w:tblPrEx>
          <w:tblLayout w:type="fixed"/>
          <w:tblCellMar>
            <w:top w:w="0" w:type="dxa"/>
            <w:left w:w="0" w:type="dxa"/>
            <w:bottom w:w="0" w:type="dxa"/>
            <w:right w:w="0" w:type="dxa"/>
          </w:tblCellMar>
        </w:tblPrEx>
        <w:trPr>
          <w:trHeight w:val="439" w:hRule="atLeast"/>
        </w:trPr>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405" w:hRule="atLeast"/>
        </w:trPr>
        <w:tc>
          <w:tcPr>
            <w:tcW w:w="257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年度资金总额：100</w:t>
            </w:r>
          </w:p>
        </w:tc>
      </w:tr>
      <w:tr>
        <w:tblPrEx>
          <w:tblLayout w:type="fixed"/>
          <w:tblCellMar>
            <w:top w:w="0" w:type="dxa"/>
            <w:left w:w="0" w:type="dxa"/>
            <w:bottom w:w="0" w:type="dxa"/>
            <w:right w:w="0" w:type="dxa"/>
          </w:tblCellMar>
        </w:tblPrEx>
        <w:trPr>
          <w:trHeight w:val="354"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100</w:t>
            </w:r>
          </w:p>
        </w:tc>
      </w:tr>
      <w:tr>
        <w:tblPrEx>
          <w:tblLayout w:type="fixed"/>
          <w:tblCellMar>
            <w:top w:w="0" w:type="dxa"/>
            <w:left w:w="0" w:type="dxa"/>
            <w:bottom w:w="0" w:type="dxa"/>
            <w:right w:w="0" w:type="dxa"/>
          </w:tblCellMar>
        </w:tblPrEx>
        <w:trPr>
          <w:trHeight w:val="439" w:hRule="atLeast"/>
        </w:trPr>
        <w:tc>
          <w:tcPr>
            <w:tcW w:w="25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400"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170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 xml:space="preserve">职能：对自治州库存粮油质量进行抽样检查，对新收获夏粮进行品质调查，协助自治区完成新收获小麦品质测报。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2021年工作计划：满足新增实验药剂购买及存放标准，符合办理易制爆、易制毒化学品购买许可证条件，完成提标改造、并运行维护，确保昌吉州粮油质检工作保持在自治区前列。</w:t>
            </w:r>
          </w:p>
        </w:tc>
      </w:tr>
      <w:tr>
        <w:tblPrEx>
          <w:tblLayout w:type="fixed"/>
          <w:tblCellMar>
            <w:top w:w="0" w:type="dxa"/>
            <w:left w:w="0" w:type="dxa"/>
            <w:bottom w:w="0" w:type="dxa"/>
            <w:right w:w="0" w:type="dxa"/>
          </w:tblCellMar>
        </w:tblPrEx>
        <w:trPr>
          <w:trHeight w:val="74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660"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新收获原粮抽检</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5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政策性粮食抽检</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5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军供粮油的质量抽检</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=1批次</w:t>
            </w:r>
          </w:p>
        </w:tc>
      </w:tr>
      <w:tr>
        <w:tblPrEx>
          <w:tblLayout w:type="fixed"/>
          <w:tblCellMar>
            <w:top w:w="0" w:type="dxa"/>
            <w:left w:w="0" w:type="dxa"/>
            <w:bottom w:w="0" w:type="dxa"/>
            <w:right w:w="0" w:type="dxa"/>
          </w:tblCellMar>
        </w:tblPrEx>
        <w:trPr>
          <w:trHeight w:val="6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检验产品批次达标率（%）</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trHeight w:val="56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重点管理计量器具鉴定率（%）</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6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检测完成及时率（%）</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5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各项工作开展时间</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49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检测费用</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≤100万元</w:t>
            </w:r>
          </w:p>
        </w:tc>
      </w:tr>
      <w:tr>
        <w:tblPrEx>
          <w:tblLayout w:type="fixed"/>
          <w:tblCellMar>
            <w:top w:w="0" w:type="dxa"/>
            <w:left w:w="0" w:type="dxa"/>
            <w:bottom w:w="0" w:type="dxa"/>
            <w:right w:w="0" w:type="dxa"/>
          </w:tblCellMar>
        </w:tblPrEx>
        <w:trPr>
          <w:trHeight w:val="78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保障粮食安全，提高居民生活水平</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70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持续监督粮食质量安全</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6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服务对象满意度指标</w:t>
            </w:r>
          </w:p>
        </w:tc>
        <w:tc>
          <w:tcPr>
            <w:tcW w:w="3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服务群体满意度</w:t>
            </w:r>
          </w:p>
        </w:tc>
        <w:tc>
          <w:tcPr>
            <w:tcW w:w="2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tbl>
      <w:tblPr>
        <w:tblStyle w:val="6"/>
        <w:tblW w:w="8871" w:type="dxa"/>
        <w:tblInd w:w="0" w:type="dxa"/>
        <w:tblLayout w:type="fixed"/>
        <w:tblCellMar>
          <w:top w:w="0" w:type="dxa"/>
          <w:left w:w="0" w:type="dxa"/>
          <w:bottom w:w="0" w:type="dxa"/>
          <w:right w:w="0" w:type="dxa"/>
        </w:tblCellMar>
      </w:tblPr>
      <w:tblGrid>
        <w:gridCol w:w="640"/>
        <w:gridCol w:w="641"/>
        <w:gridCol w:w="1295"/>
        <w:gridCol w:w="3371"/>
        <w:gridCol w:w="2924"/>
      </w:tblGrid>
      <w:tr>
        <w:tblPrEx>
          <w:tblLayout w:type="fixed"/>
          <w:tblCellMar>
            <w:top w:w="0" w:type="dxa"/>
            <w:left w:w="0" w:type="dxa"/>
            <w:bottom w:w="0" w:type="dxa"/>
            <w:right w:w="0" w:type="dxa"/>
          </w:tblCellMar>
        </w:tblPrEx>
        <w:trPr>
          <w:trHeight w:val="675" w:hRule="atLeast"/>
        </w:trPr>
        <w:tc>
          <w:tcPr>
            <w:tcW w:w="887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8" w:hRule="atLeast"/>
        </w:trPr>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煤矿安全监管专项经费</w:t>
            </w:r>
          </w:p>
        </w:tc>
      </w:tr>
      <w:tr>
        <w:tblPrEx>
          <w:tblLayout w:type="fixed"/>
          <w:tblCellMar>
            <w:top w:w="0" w:type="dxa"/>
            <w:left w:w="0" w:type="dxa"/>
            <w:bottom w:w="0" w:type="dxa"/>
            <w:right w:w="0" w:type="dxa"/>
          </w:tblCellMar>
        </w:tblPrEx>
        <w:trPr>
          <w:trHeight w:val="438" w:hRule="atLeast"/>
        </w:trPr>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昌吉州发展和改革委员会</w:t>
            </w:r>
          </w:p>
        </w:tc>
      </w:tr>
      <w:tr>
        <w:tblPrEx>
          <w:tblLayout w:type="fixed"/>
          <w:tblCellMar>
            <w:top w:w="0" w:type="dxa"/>
            <w:left w:w="0" w:type="dxa"/>
            <w:bottom w:w="0" w:type="dxa"/>
            <w:right w:w="0" w:type="dxa"/>
          </w:tblCellMar>
        </w:tblPrEx>
        <w:trPr>
          <w:trHeight w:val="480" w:hRule="atLeast"/>
        </w:trPr>
        <w:tc>
          <w:tcPr>
            <w:tcW w:w="25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年度资金总额：20</w:t>
            </w:r>
          </w:p>
        </w:tc>
      </w:tr>
      <w:tr>
        <w:tblPrEx>
          <w:tblLayout w:type="fixed"/>
          <w:tblCellMar>
            <w:top w:w="0" w:type="dxa"/>
            <w:left w:w="0" w:type="dxa"/>
            <w:bottom w:w="0" w:type="dxa"/>
            <w:right w:w="0" w:type="dxa"/>
          </w:tblCellMar>
        </w:tblPrEx>
        <w:trPr>
          <w:trHeight w:val="438" w:hRule="atLeast"/>
        </w:trPr>
        <w:tc>
          <w:tcPr>
            <w:tcW w:w="2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20</w:t>
            </w:r>
          </w:p>
        </w:tc>
      </w:tr>
      <w:tr>
        <w:tblPrEx>
          <w:tblLayout w:type="fixed"/>
          <w:tblCellMar>
            <w:top w:w="0" w:type="dxa"/>
            <w:left w:w="0" w:type="dxa"/>
            <w:bottom w:w="0" w:type="dxa"/>
            <w:right w:w="0" w:type="dxa"/>
          </w:tblCellMar>
        </w:tblPrEx>
        <w:trPr>
          <w:trHeight w:val="438" w:hRule="atLeast"/>
        </w:trPr>
        <w:tc>
          <w:tcPr>
            <w:tcW w:w="2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400" w:hRule="atLeast"/>
        </w:trPr>
        <w:tc>
          <w:tcPr>
            <w:tcW w:w="6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3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186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31"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职能：昌吉州发改委担负着全州煤矿安全监管职责，煤矿点多面广，监管责任重大，任务繁重，三分之一的工作时间都在奔波在煤矿和去煤矿的路上。                                    2021年工作计划：昌吉州是自治区主要产煤地区，煤炭资源极为丰富，全疆六大煤田中，有两大煤田分布在我州境内，区域涵盖全州5县2市1区，有各类煤矿69处，每年的产量占到全疆产量的三分之一以上。煤矿企业主要分布于山区、戈壁荒滩，最远煤矿距离昌吉市达500余公里，通往矿区道路多为陡峭山路和简易砂石路面。通过采取不间断的检查、巡查，督促煤矿企业落实安全生产主体责任，确保自治州煤矿安全生产形势稳定。</w:t>
            </w:r>
          </w:p>
        </w:tc>
      </w:tr>
      <w:tr>
        <w:tblPrEx>
          <w:tblLayout w:type="fixed"/>
          <w:tblCellMar>
            <w:top w:w="0" w:type="dxa"/>
            <w:left w:w="0" w:type="dxa"/>
            <w:bottom w:w="0" w:type="dxa"/>
            <w:right w:w="0" w:type="dxa"/>
          </w:tblCellMar>
        </w:tblPrEx>
        <w:trPr>
          <w:trHeight w:val="720"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指标值（包含数字及文字描述）</w:t>
            </w:r>
          </w:p>
        </w:tc>
      </w:tr>
      <w:tr>
        <w:tblPrEx>
          <w:tblLayout w:type="fixed"/>
          <w:tblCellMar>
            <w:top w:w="0" w:type="dxa"/>
            <w:left w:w="0" w:type="dxa"/>
            <w:bottom w:w="0" w:type="dxa"/>
            <w:right w:w="0" w:type="dxa"/>
          </w:tblCellMar>
        </w:tblPrEx>
        <w:trPr>
          <w:trHeight w:val="58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对全州煤矿开展安全检查、巡查</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25矿次</w:t>
            </w:r>
          </w:p>
        </w:tc>
      </w:tr>
      <w:tr>
        <w:tblPrEx>
          <w:tblLayout w:type="fixed"/>
          <w:tblCellMar>
            <w:top w:w="0" w:type="dxa"/>
            <w:left w:w="0" w:type="dxa"/>
            <w:bottom w:w="0" w:type="dxa"/>
            <w:right w:w="0" w:type="dxa"/>
          </w:tblCellMar>
        </w:tblPrEx>
        <w:trPr>
          <w:trHeight w:val="50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出具检查笔录、巡查记录</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25份</w:t>
            </w:r>
          </w:p>
        </w:tc>
      </w:tr>
      <w:tr>
        <w:tblPrEx>
          <w:tblLayout w:type="fixed"/>
          <w:tblCellMar>
            <w:top w:w="0" w:type="dxa"/>
            <w:left w:w="0" w:type="dxa"/>
            <w:bottom w:w="0" w:type="dxa"/>
            <w:right w:w="0" w:type="dxa"/>
          </w:tblCellMar>
        </w:tblPrEx>
        <w:trPr>
          <w:trHeight w:val="4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隐患整改率</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≥90%</w:t>
            </w:r>
          </w:p>
        </w:tc>
      </w:tr>
      <w:tr>
        <w:tblPrEx>
          <w:tblLayout w:type="fixed"/>
          <w:tblCellMar>
            <w:top w:w="0" w:type="dxa"/>
            <w:left w:w="0" w:type="dxa"/>
            <w:bottom w:w="0" w:type="dxa"/>
            <w:right w:w="0" w:type="dxa"/>
          </w:tblCellMar>
        </w:tblPrEx>
        <w:trPr>
          <w:trHeight w:val="78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正常生产煤矿安全生产标准化达标率</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tblPrEx>
          <w:tblLayout w:type="fixed"/>
          <w:tblCellMar>
            <w:top w:w="0" w:type="dxa"/>
            <w:left w:w="0" w:type="dxa"/>
            <w:bottom w:w="0" w:type="dxa"/>
            <w:right w:w="0" w:type="dxa"/>
          </w:tblCellMar>
        </w:tblPrEx>
        <w:trPr>
          <w:trHeight w:val="5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各项工作开展时间</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2021年1月-2021年12月</w:t>
            </w:r>
          </w:p>
        </w:tc>
      </w:tr>
      <w:tr>
        <w:tblPrEx>
          <w:tblLayout w:type="fixed"/>
          <w:tblCellMar>
            <w:top w:w="0" w:type="dxa"/>
            <w:left w:w="0" w:type="dxa"/>
            <w:bottom w:w="0" w:type="dxa"/>
            <w:right w:w="0" w:type="dxa"/>
          </w:tblCellMar>
        </w:tblPrEx>
        <w:trPr>
          <w:trHeight w:val="5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煤矿安全监管金额</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≤20万元</w:t>
            </w:r>
          </w:p>
        </w:tc>
      </w:tr>
      <w:tr>
        <w:tblPrEx>
          <w:tblLayout w:type="fixed"/>
          <w:tblCellMar>
            <w:top w:w="0" w:type="dxa"/>
            <w:left w:w="0" w:type="dxa"/>
            <w:bottom w:w="0" w:type="dxa"/>
            <w:right w:w="0" w:type="dxa"/>
          </w:tblCellMar>
        </w:tblPrEx>
        <w:trPr>
          <w:trHeight w:val="78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经济效益指标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遏制煤矿较大生产安全事故发生，确保人民生命和财产安全。</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减少</w:t>
            </w:r>
          </w:p>
        </w:tc>
      </w:tr>
      <w:tr>
        <w:tblPrEx>
          <w:tblLayout w:type="fixed"/>
          <w:tblCellMar>
            <w:top w:w="0" w:type="dxa"/>
            <w:left w:w="0" w:type="dxa"/>
            <w:bottom w:w="0" w:type="dxa"/>
            <w:right w:w="0" w:type="dxa"/>
          </w:tblCellMar>
        </w:tblPrEx>
        <w:trPr>
          <w:trHeight w:val="7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有效预防和减少煤矿一般事故的发生，确保社会稳定和长治久安。</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tblPrEx>
          <w:tblLayout w:type="fixed"/>
          <w:tblCellMar>
            <w:top w:w="0" w:type="dxa"/>
            <w:left w:w="0" w:type="dxa"/>
            <w:bottom w:w="0" w:type="dxa"/>
            <w:right w:w="0" w:type="dxa"/>
          </w:tblCellMar>
        </w:tblPrEx>
        <w:trPr>
          <w:trHeight w:val="80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辖区企业满意率</w:t>
            </w:r>
          </w:p>
        </w:tc>
        <w:tc>
          <w:tcPr>
            <w:tcW w:w="2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tbl>
      <w:tblPr>
        <w:tblStyle w:val="6"/>
        <w:tblW w:w="8871" w:type="dxa"/>
        <w:tblInd w:w="0" w:type="dxa"/>
        <w:tblLayout w:type="fixed"/>
        <w:tblCellMar>
          <w:top w:w="0" w:type="dxa"/>
          <w:left w:w="0" w:type="dxa"/>
          <w:bottom w:w="0" w:type="dxa"/>
          <w:right w:w="0" w:type="dxa"/>
        </w:tblCellMar>
      </w:tblPr>
      <w:tblGrid>
        <w:gridCol w:w="643"/>
        <w:gridCol w:w="641"/>
        <w:gridCol w:w="5"/>
        <w:gridCol w:w="1291"/>
        <w:gridCol w:w="3370"/>
        <w:gridCol w:w="2906"/>
        <w:gridCol w:w="15"/>
      </w:tblGrid>
      <w:tr>
        <w:tblPrEx>
          <w:tblLayout w:type="fixed"/>
          <w:tblCellMar>
            <w:top w:w="0" w:type="dxa"/>
            <w:left w:w="0" w:type="dxa"/>
            <w:bottom w:w="0" w:type="dxa"/>
            <w:right w:w="0" w:type="dxa"/>
          </w:tblCellMar>
        </w:tblPrEx>
        <w:trPr>
          <w:trHeight w:val="675" w:hRule="atLeast"/>
        </w:trPr>
        <w:tc>
          <w:tcPr>
            <w:tcW w:w="8871" w:type="dxa"/>
            <w:gridSpan w:val="7"/>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71" w:type="dxa"/>
            <w:gridSpan w:val="7"/>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9" w:hRule="atLeast"/>
        </w:trPr>
        <w:tc>
          <w:tcPr>
            <w:tcW w:w="25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项目工作前期费（评审、验收费）</w:t>
            </w:r>
          </w:p>
        </w:tc>
      </w:tr>
      <w:tr>
        <w:tblPrEx>
          <w:tblLayout w:type="fixed"/>
          <w:tblCellMar>
            <w:top w:w="0" w:type="dxa"/>
            <w:left w:w="0" w:type="dxa"/>
            <w:bottom w:w="0" w:type="dxa"/>
            <w:right w:w="0" w:type="dxa"/>
          </w:tblCellMar>
        </w:tblPrEx>
        <w:trPr>
          <w:trHeight w:val="439" w:hRule="atLeast"/>
        </w:trPr>
        <w:tc>
          <w:tcPr>
            <w:tcW w:w="25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400" w:hRule="atLeast"/>
        </w:trPr>
        <w:tc>
          <w:tcPr>
            <w:tcW w:w="25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年度资金总额：100</w:t>
            </w:r>
          </w:p>
        </w:tc>
      </w:tr>
      <w:tr>
        <w:tblPrEx>
          <w:tblLayout w:type="fixed"/>
          <w:tblCellMar>
            <w:top w:w="0" w:type="dxa"/>
            <w:left w:w="0" w:type="dxa"/>
            <w:bottom w:w="0" w:type="dxa"/>
            <w:right w:w="0" w:type="dxa"/>
          </w:tblCellMar>
        </w:tblPrEx>
        <w:trPr>
          <w:trHeight w:val="360" w:hRule="atLeast"/>
        </w:trPr>
        <w:tc>
          <w:tcPr>
            <w:tcW w:w="25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100</w:t>
            </w:r>
          </w:p>
        </w:tc>
      </w:tr>
      <w:tr>
        <w:tblPrEx>
          <w:tblLayout w:type="fixed"/>
          <w:tblCellMar>
            <w:top w:w="0" w:type="dxa"/>
            <w:left w:w="0" w:type="dxa"/>
            <w:bottom w:w="0" w:type="dxa"/>
            <w:right w:w="0" w:type="dxa"/>
          </w:tblCellMar>
        </w:tblPrEx>
        <w:trPr>
          <w:trHeight w:val="439" w:hRule="atLeast"/>
        </w:trPr>
        <w:tc>
          <w:tcPr>
            <w:tcW w:w="25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340"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2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26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2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承担规划重大建设项目和生产力布局的责任。负责自治州重点项目的管理和组织协调；组织实施自治州固定资产项目节能评估审查工作；安排自治州财政预算内建设资金，指导和监督国外贷款建设资金的使用，向政策性银行推荐贷款项目并指导监督贷款的使用方向，会同有关部门研究直接融资用于固定资产投资的总量和使用方向；指导和协调自治州招投标工作，负责重点项目招投标活动有关监督管理工作；负责自治州重大建设项目稽察工作。                                                              项目目标：该项目资金的使用促进了自治州争取上级补助资金项目的前期工作，争取超额完成州党委、人民政府给我委设定的绩效目标，促进自治州各领域发展。</w:t>
            </w:r>
          </w:p>
        </w:tc>
      </w:tr>
      <w:tr>
        <w:tblPrEx>
          <w:tblLayout w:type="fixed"/>
          <w:tblCellMar>
            <w:top w:w="0" w:type="dxa"/>
            <w:left w:w="0" w:type="dxa"/>
            <w:bottom w:w="0" w:type="dxa"/>
            <w:right w:w="0" w:type="dxa"/>
          </w:tblCellMar>
        </w:tblPrEx>
        <w:trPr>
          <w:trHeight w:val="68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455"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审批政府投资类项目可研报告数量</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≥120个</w:t>
            </w:r>
          </w:p>
        </w:tc>
      </w:tr>
      <w:tr>
        <w:tblPrEx>
          <w:tblLayout w:type="fixed"/>
          <w:tblCellMar>
            <w:top w:w="0" w:type="dxa"/>
            <w:left w:w="0" w:type="dxa"/>
            <w:bottom w:w="0" w:type="dxa"/>
            <w:right w:w="0" w:type="dxa"/>
          </w:tblCellMar>
        </w:tblPrEx>
        <w:trPr>
          <w:trHeight w:val="45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审批政府投资类项目初步设计数量</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≥60个</w:t>
            </w:r>
          </w:p>
        </w:tc>
      </w:tr>
      <w:tr>
        <w:tblPrEx>
          <w:tblLayout w:type="fixed"/>
          <w:tblCellMar>
            <w:top w:w="0" w:type="dxa"/>
            <w:left w:w="0" w:type="dxa"/>
            <w:bottom w:w="0" w:type="dxa"/>
            <w:right w:w="0" w:type="dxa"/>
          </w:tblCellMar>
        </w:tblPrEx>
        <w:trPr>
          <w:trHeight w:val="29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验收项目</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100个</w:t>
            </w:r>
          </w:p>
        </w:tc>
      </w:tr>
      <w:tr>
        <w:tblPrEx>
          <w:tblLayout w:type="fixed"/>
          <w:tblCellMar>
            <w:top w:w="0" w:type="dxa"/>
            <w:left w:w="0" w:type="dxa"/>
            <w:bottom w:w="0" w:type="dxa"/>
            <w:right w:w="0" w:type="dxa"/>
          </w:tblCellMar>
        </w:tblPrEx>
        <w:trPr>
          <w:trHeight w:val="28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可研报告合格率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3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初步设计合格率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8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准企业投资项目合格率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6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可研报告按时完成率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29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初步设计按时完成率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34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核准企业投资项目按时完成率</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tblPrEx>
          <w:tblLayout w:type="fixed"/>
          <w:tblCellMar>
            <w:top w:w="0" w:type="dxa"/>
            <w:left w:w="0" w:type="dxa"/>
            <w:bottom w:w="0" w:type="dxa"/>
            <w:right w:w="0" w:type="dxa"/>
          </w:tblCellMar>
        </w:tblPrEx>
        <w:trPr>
          <w:trHeight w:val="27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各项工作开展时间</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6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审批政府投资类项目、核准企业投资项目评审费</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≤100万元</w:t>
            </w:r>
          </w:p>
        </w:tc>
      </w:tr>
      <w:tr>
        <w:tblPrEx>
          <w:tblLayout w:type="fixed"/>
          <w:tblCellMar>
            <w:top w:w="0" w:type="dxa"/>
            <w:left w:w="0" w:type="dxa"/>
            <w:bottom w:w="0" w:type="dxa"/>
            <w:right w:w="0" w:type="dxa"/>
          </w:tblCellMar>
        </w:tblPrEx>
        <w:trPr>
          <w:trHeight w:val="3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提高人民生活水平</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提高</w:t>
            </w:r>
          </w:p>
        </w:tc>
      </w:tr>
      <w:tr>
        <w:tblPrEx>
          <w:tblLayout w:type="fixed"/>
          <w:tblCellMar>
            <w:top w:w="0" w:type="dxa"/>
            <w:left w:w="0" w:type="dxa"/>
            <w:bottom w:w="0" w:type="dxa"/>
            <w:right w:w="0" w:type="dxa"/>
          </w:tblCellMar>
        </w:tblPrEx>
        <w:trPr>
          <w:trHeight w:val="33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改善社会生态环境</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改善</w:t>
            </w:r>
          </w:p>
        </w:tc>
      </w:tr>
      <w:tr>
        <w:tblPrEx>
          <w:tblLayout w:type="fixed"/>
          <w:tblCellMar>
            <w:top w:w="0" w:type="dxa"/>
            <w:left w:w="0" w:type="dxa"/>
            <w:bottom w:w="0" w:type="dxa"/>
            <w:right w:w="0" w:type="dxa"/>
          </w:tblCellMar>
        </w:tblPrEx>
        <w:trPr>
          <w:trHeight w:val="645"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持续提升群众幸福感、获得感</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831"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服务对象满意度指标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服务群体满意度</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15" w:type="dxa"/>
          <w:trHeight w:val="675" w:hRule="atLeast"/>
        </w:trPr>
        <w:tc>
          <w:tcPr>
            <w:tcW w:w="8856" w:type="dxa"/>
            <w:gridSpan w:val="6"/>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gridAfter w:val="1"/>
          <w:wAfter w:w="15" w:type="dxa"/>
          <w:trHeight w:val="285" w:hRule="atLeast"/>
        </w:trPr>
        <w:tc>
          <w:tcPr>
            <w:tcW w:w="8856" w:type="dxa"/>
            <w:gridSpan w:val="6"/>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gridAfter w:val="1"/>
          <w:wAfter w:w="15" w:type="dxa"/>
          <w:trHeight w:val="438" w:hRule="atLeast"/>
        </w:trPr>
        <w:tc>
          <w:tcPr>
            <w:tcW w:w="25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州社会信用体系领导小组办公室业务经费</w:t>
            </w:r>
          </w:p>
        </w:tc>
      </w:tr>
      <w:tr>
        <w:tblPrEx>
          <w:tblLayout w:type="fixed"/>
          <w:tblCellMar>
            <w:top w:w="0" w:type="dxa"/>
            <w:left w:w="0" w:type="dxa"/>
            <w:bottom w:w="0" w:type="dxa"/>
            <w:right w:w="0" w:type="dxa"/>
          </w:tblCellMar>
        </w:tblPrEx>
        <w:trPr>
          <w:gridAfter w:val="1"/>
          <w:wAfter w:w="15" w:type="dxa"/>
          <w:trHeight w:val="438" w:hRule="atLeast"/>
        </w:trPr>
        <w:tc>
          <w:tcPr>
            <w:tcW w:w="25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gridAfter w:val="1"/>
          <w:wAfter w:w="15" w:type="dxa"/>
          <w:trHeight w:val="400" w:hRule="atLeast"/>
        </w:trPr>
        <w:tc>
          <w:tcPr>
            <w:tcW w:w="25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年度资金总额：5</w:t>
            </w:r>
          </w:p>
        </w:tc>
      </w:tr>
      <w:tr>
        <w:tblPrEx>
          <w:tblLayout w:type="fixed"/>
          <w:tblCellMar>
            <w:top w:w="0" w:type="dxa"/>
            <w:left w:w="0" w:type="dxa"/>
            <w:bottom w:w="0" w:type="dxa"/>
            <w:right w:w="0" w:type="dxa"/>
          </w:tblCellMar>
        </w:tblPrEx>
        <w:trPr>
          <w:gridAfter w:val="1"/>
          <w:wAfter w:w="15" w:type="dxa"/>
          <w:trHeight w:val="438" w:hRule="atLeast"/>
        </w:trPr>
        <w:tc>
          <w:tcPr>
            <w:tcW w:w="25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5</w:t>
            </w:r>
          </w:p>
        </w:tc>
      </w:tr>
      <w:tr>
        <w:tblPrEx>
          <w:tblLayout w:type="fixed"/>
          <w:tblCellMar>
            <w:top w:w="0" w:type="dxa"/>
            <w:left w:w="0" w:type="dxa"/>
            <w:bottom w:w="0" w:type="dxa"/>
            <w:right w:w="0" w:type="dxa"/>
          </w:tblCellMar>
        </w:tblPrEx>
        <w:trPr>
          <w:gridAfter w:val="1"/>
          <w:wAfter w:w="15" w:type="dxa"/>
          <w:trHeight w:val="438" w:hRule="atLeast"/>
        </w:trPr>
        <w:tc>
          <w:tcPr>
            <w:tcW w:w="25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gridAfter w:val="1"/>
          <w:wAfter w:w="15" w:type="dxa"/>
          <w:trHeight w:val="440"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gridAfter w:val="1"/>
          <w:wAfter w:w="15" w:type="dxa"/>
          <w:trHeight w:val="240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rPr>
            </w:pPr>
            <w:r>
              <w:rPr>
                <w:rFonts w:hint="eastAsia" w:ascii="宋体" w:hAnsi="宋体" w:cs="宋体"/>
                <w:color w:val="000000"/>
                <w:kern w:val="0"/>
                <w:sz w:val="24"/>
                <w:lang w:bidi="ar"/>
              </w:rPr>
              <w:t>职能：为响应国家发展和改革委员会对加强全国信用信息共享平台一体化建设和社会信用门户网站一体化建设指导意见（发改财金〔2017〕714号）的要求，根据国家、自治区加强信息交换、共用共享等信用体系建设工作的迫切需求，进一步实现“信用昌吉”网站跨地区、跨部门、跨领域公示的目标，按时完成国家、自治区对我州信用体系建设考核等目标任务。                                       2021年工作计划：建立统一的信用标准体系，制订信用信息采集、整理、加工、保存、使用等方面的规章制度，确保公共信用信息平台数据的及时性、完整性、准确性，平台数据得到充分利用。</w:t>
            </w:r>
          </w:p>
        </w:tc>
      </w:tr>
      <w:tr>
        <w:tblPrEx>
          <w:tblLayout w:type="fixed"/>
          <w:tblCellMar>
            <w:top w:w="0" w:type="dxa"/>
            <w:left w:w="0" w:type="dxa"/>
            <w:bottom w:w="0" w:type="dxa"/>
            <w:right w:w="0" w:type="dxa"/>
          </w:tblCellMar>
        </w:tblPrEx>
        <w:trPr>
          <w:gridAfter w:val="1"/>
          <w:wAfter w:w="15" w:type="dxa"/>
          <w:trHeight w:val="6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gridAfter w:val="1"/>
          <w:wAfter w:w="15" w:type="dxa"/>
          <w:trHeight w:val="420"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数量指标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各类公示信息年录入量</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≥1万条</w:t>
            </w:r>
          </w:p>
        </w:tc>
      </w:tr>
      <w:tr>
        <w:tblPrEx>
          <w:tblLayout w:type="fixed"/>
          <w:tblCellMar>
            <w:top w:w="0" w:type="dxa"/>
            <w:left w:w="0" w:type="dxa"/>
            <w:bottom w:w="0" w:type="dxa"/>
            <w:right w:w="0" w:type="dxa"/>
          </w:tblCellMar>
        </w:tblPrEx>
        <w:trPr>
          <w:gridAfter w:val="1"/>
          <w:wAfter w:w="15" w:type="dxa"/>
          <w:trHeight w:val="4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质量指标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网站日常运行稳定性</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≥99.5%</w:t>
            </w:r>
          </w:p>
        </w:tc>
      </w:tr>
      <w:tr>
        <w:tblPrEx>
          <w:tblLayout w:type="fixed"/>
          <w:tblCellMar>
            <w:top w:w="0" w:type="dxa"/>
            <w:left w:w="0" w:type="dxa"/>
            <w:bottom w:w="0" w:type="dxa"/>
            <w:right w:w="0" w:type="dxa"/>
          </w:tblCellMar>
        </w:tblPrEx>
        <w:trPr>
          <w:gridAfter w:val="1"/>
          <w:wAfter w:w="15" w:type="dxa"/>
          <w:trHeight w:val="4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系统故障修复处理</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≤2天</w:t>
            </w:r>
          </w:p>
        </w:tc>
      </w:tr>
      <w:tr>
        <w:tblPrEx>
          <w:tblLayout w:type="fixed"/>
          <w:tblCellMar>
            <w:top w:w="0" w:type="dxa"/>
            <w:left w:w="0" w:type="dxa"/>
            <w:bottom w:w="0" w:type="dxa"/>
            <w:right w:w="0" w:type="dxa"/>
          </w:tblCellMar>
        </w:tblPrEx>
        <w:trPr>
          <w:gridAfter w:val="1"/>
          <w:wAfter w:w="15" w:type="dxa"/>
          <w:trHeight w:val="4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Arial" w:hAnsi="Arial" w:cs="Arial"/>
                <w:color w:val="000000"/>
                <w:sz w:val="20"/>
                <w:szCs w:val="20"/>
              </w:rPr>
            </w:pP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系统运行维护响应</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≤24小时</w:t>
            </w:r>
          </w:p>
        </w:tc>
      </w:tr>
      <w:tr>
        <w:tblPrEx>
          <w:tblLayout w:type="fixed"/>
          <w:tblCellMar>
            <w:top w:w="0" w:type="dxa"/>
            <w:left w:w="0" w:type="dxa"/>
            <w:bottom w:w="0" w:type="dxa"/>
            <w:right w:w="0" w:type="dxa"/>
          </w:tblCellMar>
        </w:tblPrEx>
        <w:trPr>
          <w:gridAfter w:val="1"/>
          <w:wAfter w:w="15" w:type="dxa"/>
          <w:trHeight w:val="42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 xml:space="preserve">网站体系维护费及管理费用 </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≤5万元</w:t>
            </w:r>
          </w:p>
        </w:tc>
      </w:tr>
      <w:tr>
        <w:tblPrEx>
          <w:tblLayout w:type="fixed"/>
          <w:tblCellMar>
            <w:top w:w="0" w:type="dxa"/>
            <w:left w:w="0" w:type="dxa"/>
            <w:bottom w:w="0" w:type="dxa"/>
            <w:right w:w="0" w:type="dxa"/>
          </w:tblCellMar>
        </w:tblPrEx>
        <w:trPr>
          <w:gridAfter w:val="1"/>
          <w:wAfter w:w="15" w:type="dxa"/>
          <w:trHeight w:val="58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经济效益指标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w:t>
            </w:r>
          </w:p>
        </w:tc>
      </w:tr>
      <w:tr>
        <w:tblPrEx>
          <w:tblLayout w:type="fixed"/>
          <w:tblCellMar>
            <w:top w:w="0" w:type="dxa"/>
            <w:left w:w="0" w:type="dxa"/>
            <w:bottom w:w="0" w:type="dxa"/>
            <w:right w:w="0" w:type="dxa"/>
          </w:tblCellMar>
        </w:tblPrEx>
        <w:trPr>
          <w:gridAfter w:val="1"/>
          <w:wAfter w:w="15" w:type="dxa"/>
          <w:trHeight w:val="68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实现统一信息管理，覆盖率（%）</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gridAfter w:val="1"/>
          <w:wAfter w:w="15" w:type="dxa"/>
          <w:trHeight w:val="66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6" w:type="dxa"/>
            <w:gridSpan w:val="2"/>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可持续影响指标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系统正常使用年限（年）</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≥1年</w:t>
            </w:r>
          </w:p>
        </w:tc>
      </w:tr>
      <w:tr>
        <w:tblPrEx>
          <w:tblLayout w:type="fixed"/>
          <w:tblCellMar>
            <w:top w:w="0" w:type="dxa"/>
            <w:left w:w="0" w:type="dxa"/>
            <w:bottom w:w="0" w:type="dxa"/>
            <w:right w:w="0" w:type="dxa"/>
          </w:tblCellMar>
        </w:tblPrEx>
        <w:trPr>
          <w:gridAfter w:val="1"/>
          <w:wAfter w:w="15" w:type="dxa"/>
          <w:trHeight w:val="84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使用人员满意度（%）</w:t>
            </w:r>
          </w:p>
        </w:tc>
        <w:tc>
          <w:tcPr>
            <w:tcW w:w="29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tbl>
      <w:tblPr>
        <w:tblStyle w:val="6"/>
        <w:tblW w:w="8856" w:type="dxa"/>
        <w:tblInd w:w="0" w:type="dxa"/>
        <w:tblLayout w:type="fixed"/>
        <w:tblCellMar>
          <w:top w:w="0" w:type="dxa"/>
          <w:left w:w="0" w:type="dxa"/>
          <w:bottom w:w="0" w:type="dxa"/>
          <w:right w:w="0" w:type="dxa"/>
        </w:tblCellMar>
      </w:tblPr>
      <w:tblGrid>
        <w:gridCol w:w="640"/>
        <w:gridCol w:w="641"/>
        <w:gridCol w:w="1295"/>
        <w:gridCol w:w="3371"/>
        <w:gridCol w:w="2909"/>
      </w:tblGrid>
      <w:tr>
        <w:tblPrEx>
          <w:tblLayout w:type="fixed"/>
          <w:tblCellMar>
            <w:top w:w="0" w:type="dxa"/>
            <w:left w:w="0" w:type="dxa"/>
            <w:bottom w:w="0" w:type="dxa"/>
            <w:right w:w="0" w:type="dxa"/>
          </w:tblCellMar>
        </w:tblPrEx>
        <w:trPr>
          <w:trHeight w:val="675" w:hRule="atLeast"/>
        </w:trPr>
        <w:tc>
          <w:tcPr>
            <w:tcW w:w="8856"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85" w:hRule="atLeast"/>
        </w:trPr>
        <w:tc>
          <w:tcPr>
            <w:tcW w:w="8856" w:type="dxa"/>
            <w:gridSpan w:val="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hint="eastAsia" w:ascii="宋体" w:hAnsi="宋体" w:cs="宋体"/>
                <w:color w:val="000000"/>
                <w:kern w:val="0"/>
                <w:sz w:val="24"/>
                <w:lang w:bidi="ar"/>
              </w:rPr>
              <w:t>（2021年度）</w:t>
            </w:r>
          </w:p>
        </w:tc>
      </w:tr>
      <w:tr>
        <w:tblPrEx>
          <w:tblLayout w:type="fixed"/>
          <w:tblCellMar>
            <w:top w:w="0" w:type="dxa"/>
            <w:left w:w="0" w:type="dxa"/>
            <w:bottom w:w="0" w:type="dxa"/>
            <w:right w:w="0" w:type="dxa"/>
          </w:tblCellMar>
        </w:tblPrEx>
        <w:trPr>
          <w:trHeight w:val="438" w:hRule="atLeast"/>
        </w:trPr>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62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“十四五”规划编制费用</w:t>
            </w:r>
          </w:p>
        </w:tc>
      </w:tr>
      <w:tr>
        <w:tblPrEx>
          <w:tblLayout w:type="fixed"/>
          <w:tblCellMar>
            <w:top w:w="0" w:type="dxa"/>
            <w:left w:w="0" w:type="dxa"/>
            <w:bottom w:w="0" w:type="dxa"/>
            <w:right w:w="0" w:type="dxa"/>
          </w:tblCellMar>
        </w:tblPrEx>
        <w:trPr>
          <w:trHeight w:val="438" w:hRule="atLeast"/>
        </w:trPr>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62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昌吉回族自治州发展和改革委员会本级</w:t>
            </w:r>
          </w:p>
        </w:tc>
      </w:tr>
      <w:tr>
        <w:tblPrEx>
          <w:tblLayout w:type="fixed"/>
          <w:tblCellMar>
            <w:top w:w="0" w:type="dxa"/>
            <w:left w:w="0" w:type="dxa"/>
            <w:bottom w:w="0" w:type="dxa"/>
            <w:right w:w="0" w:type="dxa"/>
          </w:tblCellMar>
        </w:tblPrEx>
        <w:trPr>
          <w:trHeight w:val="400" w:hRule="atLeast"/>
        </w:trPr>
        <w:tc>
          <w:tcPr>
            <w:tcW w:w="257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62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年度资金总额：175</w:t>
            </w:r>
          </w:p>
        </w:tc>
      </w:tr>
      <w:tr>
        <w:tblPrEx>
          <w:tblLayout w:type="fixed"/>
          <w:tblCellMar>
            <w:top w:w="0" w:type="dxa"/>
            <w:left w:w="0" w:type="dxa"/>
            <w:bottom w:w="0" w:type="dxa"/>
            <w:right w:w="0" w:type="dxa"/>
          </w:tblCellMar>
        </w:tblPrEx>
        <w:trPr>
          <w:trHeight w:val="360" w:hRule="atLeast"/>
        </w:trPr>
        <w:tc>
          <w:tcPr>
            <w:tcW w:w="2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175</w:t>
            </w:r>
          </w:p>
        </w:tc>
      </w:tr>
      <w:tr>
        <w:tblPrEx>
          <w:tblLayout w:type="fixed"/>
          <w:tblCellMar>
            <w:top w:w="0" w:type="dxa"/>
            <w:left w:w="0" w:type="dxa"/>
            <w:bottom w:w="0" w:type="dxa"/>
            <w:right w:w="0" w:type="dxa"/>
          </w:tblCellMar>
        </w:tblPrEx>
        <w:trPr>
          <w:trHeight w:val="340" w:hRule="atLeast"/>
        </w:trPr>
        <w:tc>
          <w:tcPr>
            <w:tcW w:w="257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62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  0</w:t>
            </w:r>
          </w:p>
        </w:tc>
      </w:tr>
      <w:tr>
        <w:tblPrEx>
          <w:tblLayout w:type="fixed"/>
          <w:tblCellMar>
            <w:top w:w="0" w:type="dxa"/>
            <w:left w:w="0" w:type="dxa"/>
            <w:bottom w:w="0" w:type="dxa"/>
            <w:right w:w="0" w:type="dxa"/>
          </w:tblCellMar>
        </w:tblPrEx>
        <w:trPr>
          <w:trHeight w:val="260"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82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tblPrEx>
          <w:tblLayout w:type="fixed"/>
          <w:tblCellMar>
            <w:top w:w="0" w:type="dxa"/>
            <w:left w:w="0" w:type="dxa"/>
            <w:bottom w:w="0" w:type="dxa"/>
            <w:right w:w="0" w:type="dxa"/>
          </w:tblCellMar>
        </w:tblPrEx>
        <w:trPr>
          <w:trHeight w:val="112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82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贯彻执行国家、自治区国民经济和社会发展方针、政策；研究提出自治州国民经济和社会发展第十四个五年规划和二〇三五年远景目标；统筹协调自治州经济社会发展，提出国民经济发展、产业发展布局和优化重大经济结构的目标、政策。</w:t>
            </w:r>
          </w:p>
        </w:tc>
      </w:tr>
      <w:tr>
        <w:tblPrEx>
          <w:tblLayout w:type="fixed"/>
          <w:tblCellMar>
            <w:top w:w="0" w:type="dxa"/>
            <w:left w:w="0" w:type="dxa"/>
            <w:bottom w:w="0" w:type="dxa"/>
            <w:right w:w="0" w:type="dxa"/>
          </w:tblCellMar>
        </w:tblPrEx>
        <w:trPr>
          <w:trHeight w:val="62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Arial" w:hAnsi="Arial" w:cs="Arial"/>
                <w:color w:val="000000"/>
                <w:sz w:val="20"/>
                <w:szCs w:val="20"/>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一级</w:t>
            </w:r>
            <w:r>
              <w:rPr>
                <w:rFonts w:ascii="Arial" w:hAnsi="Arial" w:cs="Arial"/>
                <w:color w:val="000000"/>
                <w:kern w:val="0"/>
                <w:sz w:val="20"/>
                <w:szCs w:val="20"/>
                <w:lang w:bidi="ar"/>
              </w:rPr>
              <w:br w:type="textWrapping"/>
            </w:r>
            <w:r>
              <w:rPr>
                <w:rFonts w:ascii="Arial" w:hAnsi="Arial" w:cs="Arial"/>
                <w:color w:val="000000"/>
                <w:kern w:val="0"/>
                <w:sz w:val="20"/>
                <w:szCs w:val="20"/>
                <w:lang w:bidi="ar"/>
              </w:rPr>
              <w:t>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二级指标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三级指标</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tblPrEx>
          <w:tblLayout w:type="fixed"/>
          <w:tblCellMar>
            <w:top w:w="0" w:type="dxa"/>
            <w:left w:w="0" w:type="dxa"/>
            <w:bottom w:w="0" w:type="dxa"/>
            <w:right w:w="0" w:type="dxa"/>
          </w:tblCellMar>
        </w:tblPrEx>
        <w:trPr>
          <w:trHeight w:val="1080" w:hRule="atLeast"/>
        </w:trPr>
        <w:tc>
          <w:tcPr>
            <w:tcW w:w="6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2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完成《昌吉回族自治州国民经济和社会发展第十四个五年规划和2035年远景目标纲要》</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1本</w:t>
            </w:r>
          </w:p>
        </w:tc>
      </w:tr>
      <w:tr>
        <w:tblPrEx>
          <w:tblLayout w:type="fixed"/>
          <w:tblCellMar>
            <w:top w:w="0" w:type="dxa"/>
            <w:left w:w="0" w:type="dxa"/>
            <w:bottom w:w="0" w:type="dxa"/>
            <w:right w:w="0" w:type="dxa"/>
          </w:tblCellMar>
        </w:tblPrEx>
        <w:trPr>
          <w:trHeight w:val="34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指导性（%）</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90%</w:t>
            </w:r>
          </w:p>
        </w:tc>
      </w:tr>
      <w:tr>
        <w:tblPrEx>
          <w:tblLayout w:type="fixed"/>
          <w:tblCellMar>
            <w:top w:w="0" w:type="dxa"/>
            <w:left w:w="0" w:type="dxa"/>
            <w:bottom w:w="0" w:type="dxa"/>
            <w:right w:w="0" w:type="dxa"/>
          </w:tblCellMar>
        </w:tblPrEx>
        <w:trPr>
          <w:trHeight w:val="36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操作性（%）</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90%</w:t>
            </w:r>
          </w:p>
        </w:tc>
      </w:tr>
      <w:tr>
        <w:tblPrEx>
          <w:tblLayout w:type="fixed"/>
          <w:tblCellMar>
            <w:top w:w="0" w:type="dxa"/>
            <w:left w:w="0" w:type="dxa"/>
            <w:bottom w:w="0" w:type="dxa"/>
            <w:right w:w="0" w:type="dxa"/>
          </w:tblCellMar>
        </w:tblPrEx>
        <w:trPr>
          <w:trHeight w:val="38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时效指标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各项工作开展时间</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2021年1月-12月</w:t>
            </w:r>
          </w:p>
        </w:tc>
      </w:tr>
      <w:tr>
        <w:tblPrEx>
          <w:tblLayout w:type="fixed"/>
          <w:tblCellMar>
            <w:top w:w="0" w:type="dxa"/>
            <w:left w:w="0" w:type="dxa"/>
            <w:bottom w:w="0" w:type="dxa"/>
            <w:right w:w="0" w:type="dxa"/>
          </w:tblCellMar>
        </w:tblPrEx>
        <w:trPr>
          <w:trHeight w:val="86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成本指标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《昌吉回族自治州国民经济和社会发展第十四个五年规划和2035年远景目标纲要》编制费用</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≤175万元</w:t>
            </w:r>
          </w:p>
        </w:tc>
      </w:tr>
      <w:tr>
        <w:tblPrEx>
          <w:tblLayout w:type="fixed"/>
          <w:tblCellMar>
            <w:top w:w="0" w:type="dxa"/>
            <w:left w:w="0" w:type="dxa"/>
            <w:bottom w:w="0" w:type="dxa"/>
            <w:right w:w="0" w:type="dxa"/>
          </w:tblCellMar>
        </w:tblPrEx>
        <w:trPr>
          <w:trHeight w:val="92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项目效益指标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社会效益指标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明确昌吉州“十四五”时期战略意图、重点任务、重大布局和重大政策。</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明确</w:t>
            </w:r>
          </w:p>
        </w:tc>
      </w:tr>
      <w:tr>
        <w:tblPrEx>
          <w:tblLayout w:type="fixed"/>
          <w:tblCellMar>
            <w:top w:w="0" w:type="dxa"/>
            <w:left w:w="0" w:type="dxa"/>
            <w:bottom w:w="0" w:type="dxa"/>
            <w:right w:w="0" w:type="dxa"/>
          </w:tblCellMar>
        </w:tblPrEx>
        <w:trPr>
          <w:trHeight w:val="68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可持续影响指标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“十四五”时期</w:t>
            </w:r>
          </w:p>
        </w:tc>
        <w:tc>
          <w:tcPr>
            <w:tcW w:w="2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长期</w:t>
            </w:r>
          </w:p>
        </w:tc>
      </w:tr>
      <w:tr>
        <w:tblPrEx>
          <w:tblLayout w:type="fixed"/>
          <w:tblCellMar>
            <w:top w:w="0" w:type="dxa"/>
            <w:left w:w="0" w:type="dxa"/>
            <w:bottom w:w="0" w:type="dxa"/>
            <w:right w:w="0" w:type="dxa"/>
          </w:tblCellMar>
        </w:tblPrEx>
        <w:trPr>
          <w:trHeight w:val="340" w:hRule="atLeast"/>
        </w:trPr>
        <w:tc>
          <w:tcPr>
            <w:tcW w:w="6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rPr>
                <w:rFonts w:ascii="宋体" w:hAnsi="宋体" w:cs="宋体"/>
                <w:color w:val="000000"/>
                <w:sz w:val="24"/>
              </w:rPr>
            </w:pPr>
          </w:p>
        </w:tc>
        <w:tc>
          <w:tcPr>
            <w:tcW w:w="6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满意度指标</w:t>
            </w:r>
          </w:p>
        </w:tc>
        <w:tc>
          <w:tcPr>
            <w:tcW w:w="12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服务对象满意度指标</w:t>
            </w:r>
          </w:p>
        </w:tc>
        <w:tc>
          <w:tcPr>
            <w:tcW w:w="33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服务群体满意度（%）</w:t>
            </w:r>
          </w:p>
        </w:tc>
        <w:tc>
          <w:tcPr>
            <w:tcW w:w="290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tblPrEx>
          <w:tblLayout w:type="fixed"/>
          <w:tblCellMar>
            <w:top w:w="0" w:type="dxa"/>
            <w:left w:w="0" w:type="dxa"/>
            <w:bottom w:w="0" w:type="dxa"/>
            <w:right w:w="0" w:type="dxa"/>
          </w:tblCellMar>
        </w:tblPrEx>
        <w:trPr>
          <w:trHeight w:val="640" w:hRule="atLeast"/>
        </w:trPr>
        <w:tc>
          <w:tcPr>
            <w:tcW w:w="1281"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备注</w:t>
            </w:r>
          </w:p>
        </w:tc>
        <w:tc>
          <w:tcPr>
            <w:tcW w:w="75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本绩效目标指标属拟计划指标，费用的支出将根据“十四五”规划编制费用项目实际情况予以支付。</w:t>
            </w: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昌吉州发展和改革委员会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1E76"/>
    <w:rsid w:val="000C6FBF"/>
    <w:rsid w:val="000D531A"/>
    <w:rsid w:val="000F3B60"/>
    <w:rsid w:val="0011450F"/>
    <w:rsid w:val="00141EA4"/>
    <w:rsid w:val="00172A27"/>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03C96"/>
    <w:rsid w:val="00D85033"/>
    <w:rsid w:val="00DA2829"/>
    <w:rsid w:val="00E51C21"/>
    <w:rsid w:val="00E53E53"/>
    <w:rsid w:val="00F105A9"/>
    <w:rsid w:val="02BE0956"/>
    <w:rsid w:val="04EE07BE"/>
    <w:rsid w:val="056010F4"/>
    <w:rsid w:val="0B902C30"/>
    <w:rsid w:val="0D1E0DBE"/>
    <w:rsid w:val="0D4E3023"/>
    <w:rsid w:val="153934B8"/>
    <w:rsid w:val="17077FC4"/>
    <w:rsid w:val="17702E3F"/>
    <w:rsid w:val="18932104"/>
    <w:rsid w:val="19E27759"/>
    <w:rsid w:val="25E11D3F"/>
    <w:rsid w:val="26034502"/>
    <w:rsid w:val="264F46E3"/>
    <w:rsid w:val="26CE604E"/>
    <w:rsid w:val="28EA17F7"/>
    <w:rsid w:val="2C9612F2"/>
    <w:rsid w:val="31765561"/>
    <w:rsid w:val="37204C72"/>
    <w:rsid w:val="380F7D74"/>
    <w:rsid w:val="3F2A6FCD"/>
    <w:rsid w:val="3F5023BF"/>
    <w:rsid w:val="3F8C39D1"/>
    <w:rsid w:val="41D47C04"/>
    <w:rsid w:val="42BF15A5"/>
    <w:rsid w:val="47F347DE"/>
    <w:rsid w:val="4C4B66BE"/>
    <w:rsid w:val="4E555972"/>
    <w:rsid w:val="4F04214D"/>
    <w:rsid w:val="51261084"/>
    <w:rsid w:val="54655C4D"/>
    <w:rsid w:val="55236485"/>
    <w:rsid w:val="55EC6AE8"/>
    <w:rsid w:val="571749F1"/>
    <w:rsid w:val="57E378A0"/>
    <w:rsid w:val="58D10CDD"/>
    <w:rsid w:val="59AD7850"/>
    <w:rsid w:val="5AFA2861"/>
    <w:rsid w:val="5C2252F7"/>
    <w:rsid w:val="5D687DAA"/>
    <w:rsid w:val="5F496F2B"/>
    <w:rsid w:val="5FC2356A"/>
    <w:rsid w:val="61102EDB"/>
    <w:rsid w:val="61256B10"/>
    <w:rsid w:val="62817DB2"/>
    <w:rsid w:val="62F9006C"/>
    <w:rsid w:val="63F96247"/>
    <w:rsid w:val="64137813"/>
    <w:rsid w:val="68EF580A"/>
    <w:rsid w:val="6CCC7EF9"/>
    <w:rsid w:val="6CF723E6"/>
    <w:rsid w:val="72FA0D68"/>
    <w:rsid w:val="76BA6414"/>
    <w:rsid w:val="7A8A4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01"/>
    <w:basedOn w:val="7"/>
    <w:qFormat/>
    <w:uiPriority w:val="0"/>
    <w:rPr>
      <w:rFonts w:ascii="微软雅黑" w:hAnsi="微软雅黑" w:eastAsia="微软雅黑" w:cs="微软雅黑"/>
      <w:color w:val="000000"/>
      <w:sz w:val="24"/>
      <w:szCs w:val="24"/>
      <w:u w:val="none"/>
    </w:rPr>
  </w:style>
  <w:style w:type="character" w:customStyle="1" w:styleId="17">
    <w:name w:val="font21"/>
    <w:basedOn w:val="7"/>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C08E4-B2BB-4454-B715-51009AEEB78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45</Pages>
  <Words>3830</Words>
  <Characters>21835</Characters>
  <Lines>181</Lines>
  <Paragraphs>51</Paragraphs>
  <TotalTime>9</TotalTime>
  <ScaleCrop>false</ScaleCrop>
  <LinksUpToDate>false</LinksUpToDate>
  <CharactersWithSpaces>25614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2021-04-14T03:11:00Z</cp:lastPrinted>
  <dcterms:modified xsi:type="dcterms:W3CDTF">2025-02-10T11:05:06Z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