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bookmarkStart w:id="0" w:name="_GoBack"/>
      <w:bookmarkEnd w:id="0"/>
      <w:r>
        <w:rPr>
          <w:rFonts w:hint="eastAsia" w:ascii="黑体" w:hAnsi="黑体" w:eastAsia="黑体"/>
          <w:sz w:val="32"/>
          <w:szCs w:val="32"/>
        </w:rPr>
        <w:t>附件：</w:t>
      </w:r>
    </w:p>
    <w:p/>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黑体" w:hAnsi="黑体" w:eastAsia="黑体" w:cs="宋体"/>
          <w:kern w:val="0"/>
          <w:sz w:val="32"/>
          <w:szCs w:val="32"/>
        </w:rPr>
      </w:pPr>
    </w:p>
    <w:p>
      <w:pPr>
        <w:widowControl/>
        <w:spacing w:before="100" w:beforeAutospacing="1" w:after="100" w:afterAutospacing="1"/>
        <w:outlineLvl w:val="1"/>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新疆昌吉方汇水电设计有限公司2019年部门预算公开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outlineLvl w:val="1"/>
        <w:rPr>
          <w:rFonts w:ascii="宋体" w:hAnsi="宋体"/>
          <w:b/>
          <w:kern w:val="0"/>
          <w:sz w:val="44"/>
          <w:szCs w:val="44"/>
        </w:rPr>
      </w:pPr>
    </w:p>
    <w:p>
      <w:pPr>
        <w:widowControl/>
        <w:spacing w:line="500" w:lineRule="exact"/>
        <w:jc w:val="center"/>
        <w:outlineLvl w:val="1"/>
        <w:rPr>
          <w:rFonts w:ascii="黑体" w:hAnsi="黑体" w:eastAsia="黑体"/>
          <w:kern w:val="0"/>
          <w:sz w:val="44"/>
          <w:szCs w:val="44"/>
        </w:rPr>
      </w:pPr>
      <w:r>
        <w:rPr>
          <w:rFonts w:hint="eastAsia" w:ascii="黑体" w:hAnsi="黑体" w:eastAsia="黑体"/>
          <w:kern w:val="0"/>
          <w:sz w:val="44"/>
          <w:szCs w:val="44"/>
        </w:rPr>
        <w:t>目录</w:t>
      </w:r>
    </w:p>
    <w:p>
      <w:pPr>
        <w:widowControl/>
        <w:spacing w:line="500" w:lineRule="exact"/>
        <w:jc w:val="center"/>
        <w:outlineLvl w:val="1"/>
        <w:rPr>
          <w:rFonts w:ascii="宋体" w:hAnsi="宋体"/>
          <w:b/>
          <w:kern w:val="0"/>
          <w:sz w:val="44"/>
          <w:szCs w:val="44"/>
        </w:rPr>
      </w:pP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新疆昌吉方汇水电设计有限公司单位概况</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第二部分  </w:t>
      </w:r>
      <w:r>
        <w:rPr>
          <w:rFonts w:hint="eastAsia" w:ascii="宋体" w:hAnsi="宋体"/>
          <w:b/>
          <w:kern w:val="0"/>
          <w:sz w:val="32"/>
          <w:szCs w:val="32"/>
        </w:rPr>
        <w:t>2019</w:t>
      </w:r>
      <w:r>
        <w:rPr>
          <w:rFonts w:hint="eastAsia" w:ascii="仿宋_GB2312" w:hAnsi="宋体" w:eastAsia="仿宋_GB2312"/>
          <w:b/>
          <w:kern w:val="0"/>
          <w:sz w:val="32"/>
          <w:szCs w:val="32"/>
        </w:rPr>
        <w:t>年部门预算公开表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一、部门收支总体情况表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二、部门收入总体情况表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三、部门支出总体情况表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w:t>
      </w:r>
      <w:r>
        <w:rPr>
          <w:rFonts w:hint="eastAsia" w:ascii="仿宋_GB2312" w:hAnsi="宋体" w:eastAsia="仿宋_GB2312"/>
          <w:bCs/>
          <w:kern w:val="0"/>
          <w:sz w:val="32"/>
          <w:szCs w:val="32"/>
        </w:rPr>
        <w:t>项目支出情况表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 xml:space="preserve">第三部分  </w:t>
      </w:r>
      <w:r>
        <w:rPr>
          <w:rFonts w:hint="eastAsia" w:ascii="宋体" w:hAnsi="宋体"/>
          <w:b/>
          <w:kern w:val="0"/>
          <w:sz w:val="32"/>
          <w:szCs w:val="32"/>
        </w:rPr>
        <w:t>2019</w:t>
      </w:r>
      <w:r>
        <w:rPr>
          <w:rFonts w:hint="eastAsia" w:ascii="仿宋_GB2312" w:hAnsi="宋体" w:eastAsia="仿宋_GB2312"/>
          <w:b/>
          <w:kern w:val="0"/>
          <w:sz w:val="32"/>
          <w:szCs w:val="32"/>
        </w:rPr>
        <w:t>年部门预算情况说明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一、关于新疆昌吉方汇水电设计有限公司2019年收支预算情况的总体说明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二、关于新疆昌吉方汇水电设计有限公司2019年收入预算情况说明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三、关于新疆昌吉方汇水电设计有限公司2019年支出预算情况说明</w:t>
      </w:r>
    </w:p>
    <w:p>
      <w:pPr>
        <w:widowControl/>
        <w:spacing w:line="460" w:lineRule="exact"/>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新疆昌吉方汇水电设计有限公司2019</w:t>
      </w:r>
      <w:r>
        <w:rPr>
          <w:rFonts w:hint="eastAsia" w:ascii="仿宋_GB2312" w:hAnsi="宋体" w:eastAsia="仿宋_GB2312"/>
          <w:bCs/>
          <w:kern w:val="0"/>
          <w:sz w:val="32"/>
          <w:szCs w:val="32"/>
        </w:rPr>
        <w:t>年财政拨款收支预算情况的总体说明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五、关于新疆昌吉方汇水电设计有限公司2019年一般公共预算当年拨款情况说明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六、关于新疆昌吉方汇水电设计有限公司2019年一般公共预算基本支出情况说明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七、关于新疆昌吉方汇水电设计有限公司2019年项目支出情况说明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八、关于新疆昌吉方汇水电设计有限公司2019年一般公共预算“三公”经费预算情况说明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九、关于新疆昌吉方汇水电设计有限公司2019年政府性基金预算拨款情况说明</w:t>
      </w:r>
    </w:p>
    <w:p>
      <w:pPr>
        <w:widowControl/>
        <w:spacing w:line="4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6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新疆昌吉方汇水电设计有限公司单位概况</w:t>
      </w:r>
    </w:p>
    <w:p>
      <w:pPr>
        <w:widowControl/>
        <w:spacing w:line="560" w:lineRule="exact"/>
        <w:jc w:val="center"/>
        <w:outlineLvl w:val="1"/>
        <w:rPr>
          <w:rFonts w:ascii="宋体" w:hAnsi="宋体"/>
          <w:b/>
          <w:kern w:val="0"/>
          <w:sz w:val="32"/>
          <w:szCs w:val="32"/>
        </w:rPr>
      </w:pP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kern w:val="0"/>
          <w:sz w:val="32"/>
          <w:szCs w:val="32"/>
        </w:rPr>
        <w:t>一、主要职能</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新疆昌吉方汇水电设计有限公司（原名为：昌吉州水电勘察设计院）于2002年根据昌吉回族自治州经济体制改革领导小组下发的：昌改【2002】14号文件精神完成改制，改制基准日为：2001年12月31日。 </w:t>
      </w:r>
    </w:p>
    <w:p>
      <w:pPr>
        <w:widowControl/>
        <w:spacing w:line="56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 xml:space="preserve">根据昌吉回族自治州经济体制改革领导小组文件：昌改【2003】12号文件明确了关于水电设计院改制前已退休的干部经费规定：从2001年开始起离退休待遇调整纳入国家统一的事业单位离退休费调整范围，由财政部门按统一的补助标准和现有的经费渠道安排所需资金，并由离退休人员原单位负责发放。 </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我公司自改制以来一直认真按照文件规定执行，工资和各项经费均报</w:t>
      </w:r>
      <w:r>
        <w:rPr>
          <w:rFonts w:hint="eastAsia" w:ascii="仿宋_GB2312" w:hAnsi="宋体" w:eastAsia="仿宋_GB2312"/>
          <w:kern w:val="0"/>
          <w:sz w:val="32"/>
          <w:szCs w:val="32"/>
          <w:lang w:eastAsia="zh-CN"/>
        </w:rPr>
        <w:t>老干部局</w:t>
      </w:r>
      <w:r>
        <w:rPr>
          <w:rFonts w:hint="eastAsia" w:ascii="仿宋_GB2312" w:hAnsi="宋体" w:eastAsia="仿宋_GB2312"/>
          <w:kern w:val="0"/>
          <w:sz w:val="32"/>
          <w:szCs w:val="32"/>
        </w:rPr>
        <w:t xml:space="preserve">和财政局审核发放。 </w:t>
      </w:r>
    </w:p>
    <w:p>
      <w:pPr>
        <w:widowControl/>
        <w:spacing w:line="560" w:lineRule="exact"/>
        <w:outlineLvl w:val="1"/>
        <w:rPr>
          <w:rFonts w:ascii="仿宋_GB2312" w:hAnsi="宋体" w:eastAsia="仿宋_GB2312"/>
          <w:kern w:val="0"/>
          <w:sz w:val="32"/>
          <w:szCs w:val="32"/>
        </w:rPr>
      </w:pPr>
      <w:r>
        <w:rPr>
          <w:rFonts w:hint="eastAsia" w:ascii="仿宋_GB2312" w:hAnsi="宋体" w:eastAsia="仿宋_GB2312"/>
          <w:kern w:val="0"/>
          <w:sz w:val="32"/>
          <w:szCs w:val="32"/>
        </w:rPr>
        <w:t>　  二、机构设置及人员情况</w:t>
      </w:r>
    </w:p>
    <w:p>
      <w:pPr>
        <w:widowControl/>
        <w:spacing w:line="560" w:lineRule="exact"/>
        <w:ind w:firstLine="645"/>
        <w:outlineLvl w:val="1"/>
        <w:rPr>
          <w:rFonts w:ascii="仿宋_GB2312" w:hAnsi="宋体" w:eastAsia="仿宋_GB2312"/>
          <w:kern w:val="0"/>
          <w:sz w:val="32"/>
          <w:szCs w:val="32"/>
        </w:rPr>
      </w:pPr>
      <w:r>
        <w:rPr>
          <w:rFonts w:hint="eastAsia" w:ascii="仿宋_GB2312" w:hAnsi="宋体" w:eastAsia="仿宋_GB2312"/>
          <w:kern w:val="0"/>
          <w:sz w:val="32"/>
          <w:szCs w:val="32"/>
        </w:rPr>
        <w:t>新疆昌吉方汇水电设计有限公司无下属预算单位，无下设   处室。</w:t>
      </w:r>
    </w:p>
    <w:p>
      <w:pPr>
        <w:widowControl/>
        <w:spacing w:line="560" w:lineRule="exact"/>
        <w:ind w:firstLine="645"/>
        <w:outlineLvl w:val="1"/>
        <w:rPr>
          <w:rFonts w:ascii="仿宋_GB2312" w:hAnsi="宋体" w:eastAsia="仿宋_GB2312"/>
          <w:kern w:val="0"/>
          <w:sz w:val="32"/>
          <w:szCs w:val="32"/>
        </w:rPr>
      </w:pPr>
      <w:r>
        <w:rPr>
          <w:rFonts w:hint="eastAsia" w:ascii="仿宋_GB2312" w:hAnsi="宋体" w:eastAsia="仿宋_GB2312"/>
          <w:kern w:val="0"/>
          <w:sz w:val="32"/>
          <w:szCs w:val="32"/>
        </w:rPr>
        <w:t>新疆昌吉方汇水电设计有限公司编制数17 ，实有人数17 人，其中：在职0人，增加或减少0人； 退休17人，增加或减少0人；离休 0人，增加或减少0人。</w:t>
      </w:r>
    </w:p>
    <w:p>
      <w:pPr>
        <w:widowControl/>
        <w:spacing w:line="560" w:lineRule="exact"/>
        <w:ind w:firstLine="640"/>
        <w:jc w:val="left"/>
        <w:rPr>
          <w:rFonts w:ascii="仿宋_GB2312" w:hAnsi="宋体" w:eastAsia="仿宋_GB2312" w:cs="宋体"/>
          <w:kern w:val="0"/>
          <w:sz w:val="32"/>
          <w:szCs w:val="32"/>
        </w:rPr>
      </w:pPr>
    </w:p>
    <w:p>
      <w:pPr>
        <w:widowControl/>
        <w:spacing w:line="560" w:lineRule="exact"/>
        <w:ind w:firstLine="640"/>
        <w:jc w:val="left"/>
        <w:rPr>
          <w:rFonts w:ascii="仿宋_GB2312" w:hAnsi="宋体" w:eastAsia="仿宋_GB2312" w:cs="宋体"/>
          <w:kern w:val="0"/>
          <w:sz w:val="32"/>
          <w:szCs w:val="32"/>
        </w:rPr>
      </w:pPr>
    </w:p>
    <w:p>
      <w:pPr>
        <w:widowControl/>
        <w:spacing w:before="120" w:beforeLines="50"/>
        <w:jc w:val="center"/>
        <w:outlineLvl w:val="1"/>
        <w:rPr>
          <w:rFonts w:ascii="黑体" w:hAnsi="黑体" w:eastAsia="黑体"/>
          <w:kern w:val="0"/>
          <w:sz w:val="32"/>
          <w:szCs w:val="32"/>
        </w:rPr>
      </w:pPr>
      <w:r>
        <w:rPr>
          <w:rFonts w:hint="eastAsia" w:ascii="黑体" w:hAnsi="黑体" w:eastAsia="黑体"/>
          <w:kern w:val="0"/>
          <w:sz w:val="32"/>
          <w:szCs w:val="32"/>
        </w:rPr>
        <w:t>第二部分  2019年部门预算公开表</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部门收支总体情况表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编制部门：新疆昌吉方汇水电设计有限公司                           单位：万元</w:t>
      </w:r>
    </w:p>
    <w:tbl>
      <w:tblPr>
        <w:tblStyle w:val="7"/>
        <w:tblW w:w="8662" w:type="dxa"/>
        <w:tblInd w:w="93" w:type="dxa"/>
        <w:tblLayout w:type="fixed"/>
        <w:tblCellMar>
          <w:top w:w="0" w:type="dxa"/>
          <w:left w:w="108" w:type="dxa"/>
          <w:bottom w:w="0" w:type="dxa"/>
          <w:right w:w="108" w:type="dxa"/>
        </w:tblCellMar>
      </w:tblPr>
      <w:tblGrid>
        <w:gridCol w:w="2280"/>
        <w:gridCol w:w="1988"/>
        <w:gridCol w:w="2693"/>
        <w:gridCol w:w="1701"/>
      </w:tblGrid>
      <w:tr>
        <w:tblPrEx>
          <w:tblLayout w:type="fixed"/>
          <w:tblCellMar>
            <w:top w:w="0" w:type="dxa"/>
            <w:left w:w="108" w:type="dxa"/>
            <w:bottom w:w="0" w:type="dxa"/>
            <w:right w:w="108" w:type="dxa"/>
          </w:tblCellMar>
        </w:tblPrEx>
        <w:trPr>
          <w:trHeight w:val="360" w:hRule="atLeast"/>
        </w:trPr>
        <w:tc>
          <w:tcPr>
            <w:tcW w:w="4268" w:type="dxa"/>
            <w:gridSpan w:val="2"/>
            <w:tcBorders>
              <w:top w:val="single" w:color="auto" w:sz="4" w:space="0"/>
              <w:left w:val="single" w:color="auto" w:sz="4" w:space="0"/>
              <w:bottom w:val="single" w:color="auto" w:sz="4" w:space="0"/>
              <w:right w:val="single" w:color="000000"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收     入</w:t>
            </w:r>
          </w:p>
        </w:tc>
        <w:tc>
          <w:tcPr>
            <w:tcW w:w="4394" w:type="dxa"/>
            <w:gridSpan w:val="2"/>
            <w:tcBorders>
              <w:top w:val="single" w:color="auto" w:sz="4" w:space="0"/>
              <w:left w:val="nil"/>
              <w:bottom w:val="single" w:color="auto" w:sz="4" w:space="0"/>
              <w:right w:val="single" w:color="auto" w:sz="4" w:space="0"/>
            </w:tcBorders>
            <w:shd w:val="clear" w:color="auto" w:fill="auto"/>
            <w:noWrap/>
            <w:vAlign w:val="bottom"/>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支     出</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988"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功能分类</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预算数</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22.02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其他收入</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用事业基金弥补收支差额</w:t>
            </w:r>
          </w:p>
        </w:tc>
        <w:tc>
          <w:tcPr>
            <w:tcW w:w="1988" w:type="dxa"/>
            <w:tcBorders>
              <w:top w:val="nil"/>
              <w:left w:val="nil"/>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 医疗卫生与计划生育支出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lang w:val="en-US" w:eastAsia="zh-CN"/>
              </w:rPr>
              <w:t>22.02</w:t>
            </w: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988" w:type="dxa"/>
            <w:tcBorders>
              <w:top w:val="nil"/>
              <w:left w:val="nil"/>
              <w:bottom w:val="single" w:color="auto" w:sz="4" w:space="0"/>
              <w:right w:val="single" w:color="auto" w:sz="4" w:space="0"/>
            </w:tcBorders>
            <w:shd w:val="clear" w:color="auto" w:fill="auto"/>
            <w:noWrap/>
            <w:vAlign w:val="bottom"/>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债务发行费支出</w:t>
            </w:r>
          </w:p>
        </w:tc>
        <w:tc>
          <w:tcPr>
            <w:tcW w:w="1701"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22.02</w:t>
            </w:r>
          </w:p>
        </w:tc>
        <w:tc>
          <w:tcPr>
            <w:tcW w:w="2693"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701" w:type="dxa"/>
            <w:tcBorders>
              <w:top w:val="nil"/>
              <w:left w:val="nil"/>
              <w:bottom w:val="single" w:color="auto" w:sz="4" w:space="0"/>
              <w:right w:val="single" w:color="auto" w:sz="4" w:space="0"/>
            </w:tcBorders>
            <w:shd w:val="clear" w:color="auto" w:fill="auto"/>
            <w:noWrap/>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22.02</w:t>
            </w:r>
          </w:p>
        </w:tc>
      </w:tr>
      <w:tr>
        <w:tblPrEx>
          <w:tblLayout w:type="fixed"/>
          <w:tblCellMar>
            <w:top w:w="0" w:type="dxa"/>
            <w:left w:w="108" w:type="dxa"/>
            <w:bottom w:w="0" w:type="dxa"/>
            <w:right w:w="108" w:type="dxa"/>
          </w:tblCellMar>
        </w:tblPrEx>
        <w:trPr>
          <w:trHeight w:val="360" w:hRule="atLeast"/>
        </w:trPr>
        <w:tc>
          <w:tcPr>
            <w:tcW w:w="2280" w:type="dxa"/>
            <w:tcBorders>
              <w:top w:val="nil"/>
              <w:left w:val="single" w:color="auto" w:sz="4" w:space="0"/>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18"/>
                <w:szCs w:val="18"/>
              </w:rPr>
              <w:t>单位上年结余（不包括国库集中支付额度结余）</w:t>
            </w:r>
          </w:p>
        </w:tc>
        <w:tc>
          <w:tcPr>
            <w:tcW w:w="1988"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65" w:hRule="atLeast"/>
        </w:trPr>
        <w:tc>
          <w:tcPr>
            <w:tcW w:w="2280" w:type="dxa"/>
            <w:tcBorders>
              <w:top w:val="nil"/>
              <w:left w:val="single" w:color="auto" w:sz="4" w:space="0"/>
              <w:bottom w:val="single" w:color="auto" w:sz="4" w:space="0"/>
              <w:right w:val="nil"/>
            </w:tcBorders>
            <w:shd w:val="clear" w:color="auto" w:fill="auto"/>
            <w:vAlign w:val="center"/>
          </w:tcPr>
          <w:p>
            <w:pPr>
              <w:widowControl/>
              <w:spacing w:line="300" w:lineRule="exact"/>
              <w:jc w:val="left"/>
              <w:rPr>
                <w:rFonts w:ascii="仿宋_GB2312" w:hAnsi="宋体" w:eastAsia="仿宋_GB2312" w:cs="宋体"/>
                <w:kern w:val="0"/>
                <w:sz w:val="18"/>
                <w:szCs w:val="18"/>
              </w:rPr>
            </w:pPr>
            <w:r>
              <w:rPr>
                <w:rFonts w:hint="eastAsia" w:ascii="仿宋_GB2312" w:hAnsi="宋体" w:eastAsia="仿宋_GB2312" w:cs="宋体"/>
                <w:kern w:val="0"/>
                <w:sz w:val="20"/>
                <w:szCs w:val="20"/>
              </w:rPr>
              <w:t>收  入  总  计</w:t>
            </w:r>
          </w:p>
        </w:tc>
        <w:tc>
          <w:tcPr>
            <w:tcW w:w="1988" w:type="dxa"/>
            <w:tcBorders>
              <w:top w:val="nil"/>
              <w:left w:val="single" w:color="auto" w:sz="4" w:space="0"/>
              <w:bottom w:val="single" w:color="auto" w:sz="4" w:space="0"/>
              <w:right w:val="single" w:color="auto" w:sz="4" w:space="0"/>
            </w:tcBorders>
            <w:shd w:val="clear" w:color="auto" w:fill="auto"/>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22.02　</w:t>
            </w:r>
          </w:p>
        </w:tc>
        <w:tc>
          <w:tcPr>
            <w:tcW w:w="2693" w:type="dxa"/>
            <w:tcBorders>
              <w:top w:val="nil"/>
              <w:left w:val="nil"/>
              <w:bottom w:val="single" w:color="auto" w:sz="4" w:space="0"/>
              <w:right w:val="nil"/>
            </w:tcBorders>
            <w:shd w:val="clear" w:color="auto" w:fill="auto"/>
            <w:noWrap/>
            <w:vAlign w:val="center"/>
          </w:tcPr>
          <w:p>
            <w:pPr>
              <w:widowControl/>
              <w:spacing w:line="300" w:lineRule="exact"/>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合  计</w:t>
            </w:r>
          </w:p>
        </w:tc>
        <w:tc>
          <w:tcPr>
            <w:tcW w:w="1701" w:type="dxa"/>
            <w:tcBorders>
              <w:top w:val="nil"/>
              <w:left w:val="single" w:color="auto" w:sz="4" w:space="0"/>
              <w:bottom w:val="single" w:color="auto" w:sz="4" w:space="0"/>
              <w:right w:val="single" w:color="auto" w:sz="4" w:space="0"/>
            </w:tcBorders>
            <w:shd w:val="clear" w:color="auto" w:fill="auto"/>
            <w:noWrap/>
            <w:vAlign w:val="center"/>
          </w:tcPr>
          <w:p>
            <w:pPr>
              <w:widowControl/>
              <w:spacing w:line="30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22.02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填报部门：新疆昌吉方汇水电设计有限公司                         单位：万元</w:t>
      </w:r>
    </w:p>
    <w:tbl>
      <w:tblPr>
        <w:tblStyle w:val="7"/>
        <w:tblW w:w="9654" w:type="dxa"/>
        <w:tblInd w:w="93" w:type="dxa"/>
        <w:tblLayout w:type="fixed"/>
        <w:tblCellMar>
          <w:top w:w="0" w:type="dxa"/>
          <w:left w:w="108" w:type="dxa"/>
          <w:bottom w:w="0" w:type="dxa"/>
          <w:right w:w="108" w:type="dxa"/>
        </w:tblCellMar>
      </w:tblPr>
      <w:tblGrid>
        <w:gridCol w:w="516"/>
        <w:gridCol w:w="417"/>
        <w:gridCol w:w="417"/>
        <w:gridCol w:w="2010"/>
        <w:gridCol w:w="820"/>
        <w:gridCol w:w="716"/>
        <w:gridCol w:w="680"/>
        <w:gridCol w:w="680"/>
        <w:gridCol w:w="680"/>
        <w:gridCol w:w="680"/>
        <w:gridCol w:w="680"/>
        <w:gridCol w:w="680"/>
        <w:gridCol w:w="678"/>
      </w:tblGrid>
      <w:tr>
        <w:tblPrEx>
          <w:tblLayout w:type="fixed"/>
          <w:tblCellMar>
            <w:top w:w="0" w:type="dxa"/>
            <w:left w:w="108" w:type="dxa"/>
            <w:bottom w:w="0" w:type="dxa"/>
            <w:right w:w="108" w:type="dxa"/>
          </w:tblCellMar>
        </w:tblPrEx>
        <w:trPr>
          <w:trHeight w:val="510" w:hRule="atLeast"/>
        </w:trPr>
        <w:tc>
          <w:tcPr>
            <w:tcW w:w="1350"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功能分类科目编码</w:t>
            </w:r>
          </w:p>
        </w:tc>
        <w:tc>
          <w:tcPr>
            <w:tcW w:w="201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功能分类科目名称</w:t>
            </w:r>
          </w:p>
        </w:tc>
        <w:tc>
          <w:tcPr>
            <w:tcW w:w="82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总  计</w:t>
            </w:r>
          </w:p>
        </w:tc>
        <w:tc>
          <w:tcPr>
            <w:tcW w:w="716"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一般公共预算拨款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政府性基金预算拨款</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财政专户管理资金</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事业单位经营收入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其他收入</w:t>
            </w:r>
          </w:p>
        </w:tc>
        <w:tc>
          <w:tcPr>
            <w:tcW w:w="680"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20"/>
                <w:szCs w:val="20"/>
              </w:rPr>
            </w:pPr>
            <w:r>
              <w:rPr>
                <w:rFonts w:hint="eastAsia" w:ascii="仿宋_GB2312" w:eastAsia="仿宋_GB2312"/>
                <w:b/>
                <w:color w:val="000000"/>
                <w:sz w:val="20"/>
                <w:szCs w:val="20"/>
              </w:rPr>
              <w:t>用事业基金弥补收支差额</w:t>
            </w:r>
          </w:p>
        </w:tc>
        <w:tc>
          <w:tcPr>
            <w:tcW w:w="678" w:type="dxa"/>
            <w:vMerge w:val="restart"/>
            <w:tcBorders>
              <w:top w:val="single" w:color="auto" w:sz="4" w:space="0"/>
              <w:left w:val="single" w:color="auto" w:sz="4" w:space="0"/>
              <w:bottom w:val="single" w:color="000000" w:sz="4" w:space="0"/>
              <w:right w:val="single" w:color="auto" w:sz="4" w:space="0"/>
            </w:tcBorders>
            <w:shd w:val="clear" w:color="auto" w:fill="auto"/>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单位上年结余（不包括国库集中支付额度结余）</w:t>
            </w:r>
          </w:p>
        </w:tc>
      </w:tr>
      <w:tr>
        <w:tblPrEx>
          <w:tblLayout w:type="fixed"/>
          <w:tblCellMar>
            <w:top w:w="0" w:type="dxa"/>
            <w:left w:w="108" w:type="dxa"/>
            <w:bottom w:w="0" w:type="dxa"/>
            <w:right w:w="108" w:type="dxa"/>
          </w:tblCellMar>
        </w:tblPrEx>
        <w:trPr>
          <w:trHeight w:val="18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类</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款</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b/>
                <w:color w:val="000000"/>
                <w:sz w:val="20"/>
                <w:szCs w:val="20"/>
              </w:rPr>
            </w:pPr>
            <w:r>
              <w:rPr>
                <w:rFonts w:hint="eastAsia" w:ascii="仿宋_GB2312" w:eastAsia="仿宋_GB2312"/>
                <w:b/>
                <w:color w:val="000000"/>
                <w:sz w:val="20"/>
                <w:szCs w:val="20"/>
              </w:rPr>
              <w:t>项</w:t>
            </w:r>
          </w:p>
        </w:tc>
        <w:tc>
          <w:tcPr>
            <w:tcW w:w="20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82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71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8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c>
          <w:tcPr>
            <w:tcW w:w="67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213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03</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03</w:t>
            </w:r>
          </w:p>
        </w:tc>
        <w:tc>
          <w:tcPr>
            <w:tcW w:w="20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机关服务　</w:t>
            </w:r>
          </w:p>
        </w:tc>
        <w:tc>
          <w:tcPr>
            <w:tcW w:w="82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22.02　</w:t>
            </w:r>
          </w:p>
        </w:tc>
        <w:tc>
          <w:tcPr>
            <w:tcW w:w="716"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22.02　</w:t>
            </w: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80"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c>
          <w:tcPr>
            <w:tcW w:w="678" w:type="dxa"/>
            <w:tcBorders>
              <w:top w:val="nil"/>
              <w:left w:val="nil"/>
              <w:bottom w:val="single" w:color="auto" w:sz="4" w:space="0"/>
              <w:right w:val="single" w:color="auto" w:sz="4" w:space="0"/>
            </w:tcBorders>
            <w:shd w:val="clear" w:color="000000" w:fill="FFFFFF"/>
            <w:noWrap/>
            <w:vAlign w:val="center"/>
          </w:tcPr>
          <w:p>
            <w:pPr>
              <w:jc w:val="center"/>
              <w:rPr>
                <w:rFonts w:ascii="仿宋_GB2312" w:hAnsi="宋体" w:eastAsia="仿宋_GB2312" w:cs="宋体"/>
                <w:color w:val="000000"/>
                <w:sz w:val="20"/>
                <w:szCs w:val="20"/>
              </w:rPr>
            </w:pP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r>
        <w:tblPrEx>
          <w:tblLayout w:type="fixed"/>
          <w:tblCellMar>
            <w:top w:w="0" w:type="dxa"/>
            <w:left w:w="108" w:type="dxa"/>
            <w:bottom w:w="0" w:type="dxa"/>
            <w:right w:w="108" w:type="dxa"/>
          </w:tblCellMar>
        </w:tblPrEx>
        <w:trPr>
          <w:trHeight w:val="465"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417"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2010" w:type="dxa"/>
            <w:tcBorders>
              <w:top w:val="nil"/>
              <w:left w:val="nil"/>
              <w:bottom w:val="single" w:color="auto" w:sz="4" w:space="0"/>
              <w:right w:val="single" w:color="auto" w:sz="4" w:space="0"/>
            </w:tcBorders>
            <w:shd w:val="clear" w:color="auto" w:fill="auto"/>
            <w:vAlign w:val="center"/>
          </w:tcPr>
          <w:p>
            <w:pPr>
              <w:jc w:val="center"/>
              <w:rPr>
                <w:rFonts w:ascii="仿宋_GB2312" w:hAnsi="宋体" w:eastAsia="仿宋_GB2312" w:cs="宋体"/>
                <w:color w:val="000000"/>
                <w:sz w:val="20"/>
                <w:szCs w:val="20"/>
              </w:rPr>
            </w:pPr>
            <w:r>
              <w:rPr>
                <w:rFonts w:hint="eastAsia" w:ascii="仿宋_GB2312" w:eastAsia="仿宋_GB2312"/>
                <w:color w:val="000000"/>
                <w:sz w:val="20"/>
                <w:szCs w:val="20"/>
              </w:rPr>
              <w:t>合计</w:t>
            </w:r>
          </w:p>
        </w:tc>
        <w:tc>
          <w:tcPr>
            <w:tcW w:w="82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22.02　</w:t>
            </w:r>
          </w:p>
        </w:tc>
        <w:tc>
          <w:tcPr>
            <w:tcW w:w="716"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22.02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80"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c>
          <w:tcPr>
            <w:tcW w:w="678" w:type="dxa"/>
            <w:tcBorders>
              <w:top w:val="nil"/>
              <w:left w:val="nil"/>
              <w:bottom w:val="single" w:color="auto" w:sz="4" w:space="0"/>
              <w:right w:val="single" w:color="auto" w:sz="4" w:space="0"/>
            </w:tcBorders>
            <w:shd w:val="clear" w:color="auto" w:fill="auto"/>
            <w:vAlign w:val="center"/>
          </w:tcPr>
          <w:p>
            <w:pPr>
              <w:jc w:val="right"/>
              <w:rPr>
                <w:rFonts w:ascii="仿宋_GB2312" w:hAnsi="宋体" w:eastAsia="仿宋_GB2312" w:cs="宋体"/>
                <w:color w:val="000000"/>
                <w:sz w:val="20"/>
                <w:szCs w:val="20"/>
              </w:rPr>
            </w:pPr>
            <w:r>
              <w:rPr>
                <w:rFonts w:hint="eastAsia" w:ascii="仿宋_GB2312" w:eastAsia="仿宋_GB2312"/>
                <w:color w:val="000000"/>
                <w:sz w:val="20"/>
                <w:szCs w:val="20"/>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部门支出总体情况表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编制部门：新疆昌吉方汇水电设计有限公司                          单位：万元</w:t>
      </w:r>
    </w:p>
    <w:tbl>
      <w:tblPr>
        <w:tblStyle w:val="7"/>
        <w:tblW w:w="9229" w:type="dxa"/>
        <w:tblInd w:w="93" w:type="dxa"/>
        <w:tblLayout w:type="fixed"/>
        <w:tblCellMar>
          <w:top w:w="0" w:type="dxa"/>
          <w:left w:w="108" w:type="dxa"/>
          <w:bottom w:w="0" w:type="dxa"/>
          <w:right w:w="108" w:type="dxa"/>
        </w:tblCellMar>
      </w:tblPr>
      <w:tblGrid>
        <w:gridCol w:w="458"/>
        <w:gridCol w:w="400"/>
        <w:gridCol w:w="399"/>
        <w:gridCol w:w="2580"/>
        <w:gridCol w:w="1844"/>
        <w:gridCol w:w="1845"/>
        <w:gridCol w:w="1703"/>
      </w:tblGrid>
      <w:tr>
        <w:tblPrEx>
          <w:tblLayout w:type="fixed"/>
          <w:tblCellMar>
            <w:top w:w="0" w:type="dxa"/>
            <w:left w:w="108" w:type="dxa"/>
            <w:bottom w:w="0" w:type="dxa"/>
            <w:right w:w="108" w:type="dxa"/>
          </w:tblCellMar>
        </w:tblPrEx>
        <w:trPr>
          <w:trHeight w:val="345" w:hRule="atLeast"/>
        </w:trPr>
        <w:tc>
          <w:tcPr>
            <w:tcW w:w="3837"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w:t>
            </w:r>
          </w:p>
        </w:tc>
        <w:tc>
          <w:tcPr>
            <w:tcW w:w="5392" w:type="dxa"/>
            <w:gridSpan w:val="3"/>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支出预算</w:t>
            </w:r>
          </w:p>
        </w:tc>
      </w:tr>
      <w:tr>
        <w:tblPrEx>
          <w:tblLayout w:type="fixed"/>
          <w:tblCellMar>
            <w:top w:w="0" w:type="dxa"/>
            <w:left w:w="108" w:type="dxa"/>
            <w:bottom w:w="0" w:type="dxa"/>
            <w:right w:w="108" w:type="dxa"/>
          </w:tblCellMar>
        </w:tblPrEx>
        <w:trPr>
          <w:trHeight w:val="480" w:hRule="atLeast"/>
        </w:trPr>
        <w:tc>
          <w:tcPr>
            <w:tcW w:w="1257"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功能分类科目编码</w:t>
            </w:r>
          </w:p>
        </w:tc>
        <w:tc>
          <w:tcPr>
            <w:tcW w:w="258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功能分类科目名称</w:t>
            </w:r>
          </w:p>
        </w:tc>
        <w:tc>
          <w:tcPr>
            <w:tcW w:w="1844"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合计</w:t>
            </w:r>
          </w:p>
        </w:tc>
        <w:tc>
          <w:tcPr>
            <w:tcW w:w="1845"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基本支出</w:t>
            </w:r>
          </w:p>
        </w:tc>
        <w:tc>
          <w:tcPr>
            <w:tcW w:w="1703"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宋体" w:hAnsi="宋体" w:cs="宋体"/>
                <w:b/>
                <w:bCs/>
                <w:color w:val="000000"/>
                <w:kern w:val="0"/>
                <w:sz w:val="20"/>
                <w:szCs w:val="20"/>
              </w:rPr>
            </w:pPr>
            <w:r>
              <w:rPr>
                <w:rFonts w:hint="eastAsia" w:ascii="宋体" w:hAnsi="宋体" w:cs="宋体"/>
                <w:b/>
                <w:bCs/>
                <w:color w:val="000000"/>
                <w:kern w:val="0"/>
                <w:sz w:val="20"/>
                <w:szCs w:val="20"/>
              </w:rPr>
              <w:t>项目支出</w:t>
            </w:r>
          </w:p>
        </w:tc>
      </w:tr>
      <w:tr>
        <w:tblPrEx>
          <w:tblLayout w:type="fixed"/>
          <w:tblCellMar>
            <w:top w:w="0" w:type="dxa"/>
            <w:left w:w="108" w:type="dxa"/>
            <w:bottom w:w="0" w:type="dxa"/>
            <w:right w:w="108" w:type="dxa"/>
          </w:tblCellMar>
        </w:tblPrEx>
        <w:trPr>
          <w:trHeight w:val="270"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类</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款</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项</w:t>
            </w:r>
          </w:p>
        </w:tc>
        <w:tc>
          <w:tcPr>
            <w:tcW w:w="2580"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4"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845"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3"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213</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03</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03</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1"/>
                <w:szCs w:val="21"/>
              </w:rPr>
              <w:t>机关服务</w:t>
            </w: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22.02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22.02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40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399"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16"/>
                <w:szCs w:val="16"/>
              </w:rPr>
            </w:pPr>
            <w:r>
              <w:rPr>
                <w:rFonts w:hint="eastAsia" w:ascii="宋体" w:hAnsi="宋体" w:cs="宋体"/>
                <w:b/>
                <w:bCs/>
                <w:color w:val="000000"/>
                <w:kern w:val="0"/>
                <w:sz w:val="16"/>
                <w:szCs w:val="16"/>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4"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84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c>
          <w:tcPr>
            <w:tcW w:w="1703"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　</w:t>
            </w:r>
          </w:p>
        </w:tc>
      </w:tr>
      <w:tr>
        <w:tblPrEx>
          <w:tblLayout w:type="fixed"/>
          <w:tblCellMar>
            <w:top w:w="0" w:type="dxa"/>
            <w:left w:w="108" w:type="dxa"/>
            <w:bottom w:w="0" w:type="dxa"/>
            <w:right w:w="108" w:type="dxa"/>
          </w:tblCellMar>
        </w:tblPrEx>
        <w:trPr>
          <w:trHeight w:val="40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400"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2"/>
                <w:szCs w:val="22"/>
              </w:rPr>
            </w:pPr>
            <w:r>
              <w:rPr>
                <w:rFonts w:hint="eastAsia" w:ascii="宋体" w:hAnsi="宋体" w:cs="宋体"/>
                <w:color w:val="000000"/>
                <w:kern w:val="0"/>
                <w:sz w:val="22"/>
                <w:szCs w:val="22"/>
              </w:rPr>
              <w:t>　</w:t>
            </w:r>
          </w:p>
        </w:tc>
        <w:tc>
          <w:tcPr>
            <w:tcW w:w="39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258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2"/>
                <w:szCs w:val="22"/>
              </w:rPr>
            </w:pPr>
            <w:r>
              <w:rPr>
                <w:rFonts w:hint="eastAsia" w:ascii="宋体" w:hAnsi="宋体" w:cs="宋体"/>
                <w:color w:val="000000"/>
                <w:kern w:val="0"/>
                <w:sz w:val="22"/>
                <w:szCs w:val="22"/>
              </w:rPr>
              <w:t>合计</w:t>
            </w:r>
          </w:p>
        </w:tc>
        <w:tc>
          <w:tcPr>
            <w:tcW w:w="1844"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22.02</w:t>
            </w:r>
          </w:p>
        </w:tc>
        <w:tc>
          <w:tcPr>
            <w:tcW w:w="1845"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22.02</w:t>
            </w:r>
          </w:p>
        </w:tc>
        <w:tc>
          <w:tcPr>
            <w:tcW w:w="1703"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spacing w:before="120" w:beforeLines="50"/>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outlineLvl w:val="1"/>
        <w:rPr>
          <w:rFonts w:ascii="仿宋_GB2312" w:hAnsi="宋体" w:eastAsia="仿宋_GB2312"/>
          <w:b/>
          <w:kern w:val="0"/>
          <w:sz w:val="32"/>
          <w:szCs w:val="32"/>
        </w:rPr>
      </w:pPr>
    </w:p>
    <w:p>
      <w:pPr>
        <w:widowControl/>
        <w:spacing w:before="120" w:beforeLines="50"/>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outlineLvl w:val="1"/>
        <w:rPr>
          <w:rFonts w:ascii="仿宋_GB2312" w:hAnsi="宋体" w:eastAsia="仿宋_GB2312"/>
          <w:kern w:val="0"/>
          <w:sz w:val="28"/>
          <w:szCs w:val="28"/>
        </w:rPr>
      </w:pPr>
      <w:r>
        <w:rPr>
          <w:rFonts w:hint="eastAsia" w:ascii="仿宋_GB2312" w:hAnsi="宋体" w:eastAsia="仿宋_GB2312"/>
          <w:kern w:val="0"/>
          <w:sz w:val="28"/>
          <w:szCs w:val="28"/>
        </w:rPr>
        <w:t>编制部门：</w:t>
      </w:r>
      <w:r>
        <w:rPr>
          <w:rFonts w:hint="eastAsia" w:ascii="仿宋_GB2312" w:hAnsi="宋体" w:eastAsia="仿宋_GB2312"/>
          <w:kern w:val="0"/>
          <w:sz w:val="24"/>
        </w:rPr>
        <w:t>新疆昌吉方汇水电设计有限公司</w:t>
      </w:r>
      <w:r>
        <w:rPr>
          <w:rFonts w:hint="eastAsia" w:ascii="仿宋_GB2312" w:hAnsi="宋体" w:eastAsia="仿宋_GB2312"/>
          <w:kern w:val="0"/>
          <w:sz w:val="28"/>
          <w:szCs w:val="28"/>
        </w:rPr>
        <w:t xml:space="preserve">                   单位：万元</w:t>
      </w:r>
    </w:p>
    <w:tbl>
      <w:tblPr>
        <w:tblStyle w:val="7"/>
        <w:tblW w:w="9229" w:type="dxa"/>
        <w:tblInd w:w="93" w:type="dxa"/>
        <w:tblLayout w:type="fixed"/>
        <w:tblCellMar>
          <w:top w:w="0" w:type="dxa"/>
          <w:left w:w="108" w:type="dxa"/>
          <w:bottom w:w="0" w:type="dxa"/>
          <w:right w:w="108" w:type="dxa"/>
        </w:tblCellMar>
      </w:tblPr>
      <w:tblGrid>
        <w:gridCol w:w="1620"/>
        <w:gridCol w:w="1230"/>
        <w:gridCol w:w="2250"/>
        <w:gridCol w:w="1294"/>
        <w:gridCol w:w="1418"/>
        <w:gridCol w:w="1417"/>
      </w:tblGrid>
      <w:tr>
        <w:tblPrEx>
          <w:tblLayout w:type="fixed"/>
          <w:tblCellMar>
            <w:top w:w="0" w:type="dxa"/>
            <w:left w:w="108" w:type="dxa"/>
            <w:bottom w:w="0" w:type="dxa"/>
            <w:right w:w="108" w:type="dxa"/>
          </w:tblCellMar>
        </w:tblPrEx>
        <w:trPr>
          <w:trHeight w:val="285" w:hRule="atLeast"/>
        </w:trPr>
        <w:tc>
          <w:tcPr>
            <w:tcW w:w="2850" w:type="dxa"/>
            <w:gridSpan w:val="2"/>
            <w:tcBorders>
              <w:top w:val="single" w:color="auto" w:sz="4" w:space="0"/>
              <w:left w:val="single" w:color="auto" w:sz="4" w:space="0"/>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379" w:type="dxa"/>
            <w:gridSpan w:val="4"/>
            <w:tcBorders>
              <w:top w:val="single" w:color="auto" w:sz="4" w:space="0"/>
              <w:left w:val="nil"/>
              <w:bottom w:val="single" w:color="auto" w:sz="4" w:space="0"/>
              <w:right w:val="single" w:color="000000" w:sz="4" w:space="0"/>
            </w:tcBorders>
            <w:shd w:val="clear" w:color="auto" w:fill="auto"/>
            <w:noWrap/>
            <w:vAlign w:val="center"/>
          </w:tcPr>
          <w:p>
            <w:pPr>
              <w:widowControl/>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trHeight w:val="465" w:hRule="atLeast"/>
        </w:trPr>
        <w:tc>
          <w:tcPr>
            <w:tcW w:w="1620"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23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2250"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1294"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41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22.02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文化体育与传媒支出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210 医疗卫生与计划生育支出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22.02</w:t>
            </w: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lang w:val="en-US" w:eastAsia="zh-CN"/>
              </w:rPr>
              <w:t>22.02</w:t>
            </w: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资源勘探信息等支出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国土资源气象等支出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粮油物资管理支出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5"/>
                <w:szCs w:val="15"/>
              </w:rPr>
            </w:pPr>
            <w:r>
              <w:rPr>
                <w:rFonts w:hint="eastAsia" w:ascii="仿宋_GB2312" w:hAnsi="宋体" w:eastAsia="仿宋_GB2312" w:cs="宋体"/>
                <w:kern w:val="0"/>
                <w:sz w:val="15"/>
                <w:szCs w:val="15"/>
              </w:rPr>
              <w:t>2</w:t>
            </w:r>
            <w:r>
              <w:rPr>
                <w:rFonts w:hint="eastAsia" w:ascii="仿宋_GB2312" w:hAnsi="宋体" w:eastAsia="仿宋_GB2312" w:cs="宋体"/>
                <w:color w:val="000000"/>
                <w:kern w:val="0"/>
                <w:sz w:val="15"/>
                <w:szCs w:val="15"/>
              </w:rPr>
              <w:t>23 国有资本经营预算支出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31 债务还本支出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w:t>
            </w:r>
            <w:r>
              <w:rPr>
                <w:rFonts w:hint="eastAsia" w:ascii="仿宋_GB2312" w:hAnsi="宋体" w:eastAsia="仿宋_GB2312" w:cs="宋体"/>
                <w:color w:val="000000"/>
                <w:kern w:val="0"/>
                <w:sz w:val="18"/>
                <w:szCs w:val="18"/>
              </w:rPr>
              <w:t>32 债务付息支出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color w:val="000000"/>
                <w:kern w:val="0"/>
                <w:sz w:val="22"/>
                <w:szCs w:val="22"/>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230" w:type="dxa"/>
            <w:tcBorders>
              <w:top w:val="nil"/>
              <w:left w:val="nil"/>
              <w:bottom w:val="single" w:color="auto" w:sz="4" w:space="0"/>
              <w:right w:val="single" w:color="auto" w:sz="4" w:space="0"/>
            </w:tcBorders>
            <w:shd w:val="clear" w:color="auto" w:fill="auto"/>
            <w:noWrap/>
            <w:vAlign w:val="bottom"/>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w:t>
            </w:r>
            <w:r>
              <w:rPr>
                <w:rFonts w:hint="eastAsia" w:ascii="仿宋_GB2312" w:hAnsi="宋体" w:eastAsia="仿宋_GB2312" w:cs="宋体"/>
                <w:color w:val="000000"/>
                <w:kern w:val="0"/>
                <w:sz w:val="18"/>
                <w:szCs w:val="18"/>
              </w:rPr>
              <w:t xml:space="preserve"> 债务发行费支出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color w:val="000000"/>
                <w:kern w:val="0"/>
                <w:sz w:val="22"/>
                <w:szCs w:val="22"/>
              </w:rPr>
            </w:pPr>
            <w:r>
              <w:rPr>
                <w:rFonts w:hint="eastAsia" w:ascii="仿宋_GB2312" w:hAnsi="宋体" w:eastAsia="仿宋_GB2312" w:cs="宋体"/>
                <w:kern w:val="0"/>
                <w:sz w:val="20"/>
                <w:szCs w:val="20"/>
              </w:rPr>
              <w:t>小       计</w:t>
            </w:r>
          </w:p>
        </w:tc>
        <w:tc>
          <w:tcPr>
            <w:tcW w:w="1230" w:type="dxa"/>
            <w:tcBorders>
              <w:top w:val="nil"/>
              <w:left w:val="nil"/>
              <w:bottom w:val="single" w:color="auto" w:sz="4" w:space="0"/>
              <w:right w:val="single" w:color="auto" w:sz="4" w:space="0"/>
            </w:tcBorders>
            <w:shd w:val="clear" w:color="auto" w:fill="auto"/>
            <w:noWrap/>
            <w:vAlign w:val="center"/>
          </w:tcPr>
          <w:p>
            <w:pPr>
              <w:widowControl/>
              <w:jc w:val="left"/>
              <w:rPr>
                <w:rFonts w:hint="default" w:ascii="仿宋_GB2312" w:hAnsi="宋体" w:eastAsia="仿宋_GB2312" w:cs="宋体"/>
                <w:color w:val="000000"/>
                <w:kern w:val="0"/>
                <w:sz w:val="22"/>
                <w:szCs w:val="22"/>
                <w:lang w:val="en-US" w:eastAsia="zh-CN"/>
              </w:rPr>
            </w:pPr>
            <w:r>
              <w:rPr>
                <w:rFonts w:hint="eastAsia" w:ascii="仿宋_GB2312" w:hAnsi="宋体" w:eastAsia="仿宋_GB2312" w:cs="宋体"/>
                <w:color w:val="000000"/>
                <w:kern w:val="0"/>
                <w:sz w:val="22"/>
                <w:szCs w:val="22"/>
              </w:rPr>
              <w:t>　</w:t>
            </w:r>
            <w:r>
              <w:rPr>
                <w:rFonts w:hint="eastAsia" w:ascii="仿宋_GB2312" w:hAnsi="宋体" w:eastAsia="仿宋_GB2312" w:cs="宋体"/>
                <w:color w:val="000000"/>
                <w:kern w:val="0"/>
                <w:sz w:val="22"/>
                <w:szCs w:val="22"/>
                <w:lang w:val="en-US" w:eastAsia="zh-CN"/>
              </w:rPr>
              <w:t>22.02</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18"/>
                <w:szCs w:val="18"/>
              </w:rPr>
            </w:pPr>
            <w:r>
              <w:rPr>
                <w:rFonts w:hint="eastAsia" w:ascii="仿宋_GB2312" w:hAnsi="宋体" w:eastAsia="仿宋_GB2312" w:cs="宋体"/>
                <w:kern w:val="0"/>
                <w:sz w:val="20"/>
                <w:szCs w:val="20"/>
              </w:rPr>
              <w:t>小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8" w:type="dxa"/>
            <w:tcBorders>
              <w:top w:val="nil"/>
              <w:left w:val="nil"/>
              <w:bottom w:val="single" w:color="auto" w:sz="4" w:space="0"/>
              <w:right w:val="single" w:color="auto" w:sz="4" w:space="0"/>
            </w:tcBorders>
            <w:shd w:val="clear" w:color="auto" w:fill="auto"/>
            <w:noWrap/>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rPr>
                <w:rFonts w:ascii="仿宋_GB2312" w:hAnsi="宋体" w:eastAsia="仿宋_GB2312" w:cs="宋体"/>
                <w:kern w:val="0"/>
                <w:sz w:val="20"/>
                <w:szCs w:val="20"/>
              </w:rPr>
            </w:pPr>
            <w:r>
              <w:rPr>
                <w:rFonts w:hint="eastAsia" w:ascii="仿宋_GB2312" w:hAnsi="宋体" w:eastAsia="仿宋_GB2312" w:cs="宋体"/>
                <w:kern w:val="0"/>
                <w:sz w:val="20"/>
                <w:szCs w:val="20"/>
              </w:rPr>
              <w:t>　</w:t>
            </w:r>
          </w:p>
        </w:tc>
        <w:tc>
          <w:tcPr>
            <w:tcW w:w="1230" w:type="dxa"/>
            <w:tcBorders>
              <w:top w:val="nil"/>
              <w:left w:val="nil"/>
              <w:bottom w:val="single" w:color="auto" w:sz="4" w:space="0"/>
              <w:right w:val="single" w:color="auto" w:sz="4" w:space="0"/>
            </w:tcBorders>
            <w:shd w:val="clear" w:color="auto" w:fill="auto"/>
            <w:noWrap/>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　</w:t>
            </w:r>
          </w:p>
        </w:tc>
        <w:tc>
          <w:tcPr>
            <w:tcW w:w="2250"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kern w:val="0"/>
                <w:sz w:val="20"/>
                <w:szCs w:val="20"/>
              </w:rPr>
            </w:pPr>
            <w:r>
              <w:rPr>
                <w:rFonts w:hint="eastAsia" w:ascii="仿宋_GB2312" w:hAnsi="宋体" w:eastAsia="仿宋_GB2312" w:cs="宋体"/>
                <w:kern w:val="0"/>
                <w:sz w:val="20"/>
                <w:szCs w:val="20"/>
              </w:rPr>
              <w:t>230 转移性支出</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color w:val="000000"/>
                <w:kern w:val="0"/>
                <w:sz w:val="22"/>
                <w:szCs w:val="22"/>
              </w:rPr>
            </w:pPr>
            <w:r>
              <w:rPr>
                <w:rFonts w:hint="eastAsia" w:ascii="宋体" w:hAnsi="宋体" w:cs="宋体"/>
                <w:kern w:val="0"/>
                <w:sz w:val="18"/>
                <w:szCs w:val="18"/>
              </w:rPr>
              <w:t>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1620"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收  入  总  计</w:t>
            </w:r>
          </w:p>
        </w:tc>
        <w:tc>
          <w:tcPr>
            <w:tcW w:w="1230"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2"/>
                <w:szCs w:val="22"/>
              </w:rPr>
            </w:pPr>
            <w:r>
              <w:rPr>
                <w:rFonts w:hint="eastAsia" w:ascii="仿宋_GB2312" w:hAnsi="宋体" w:eastAsia="仿宋_GB2312" w:cs="宋体"/>
                <w:color w:val="000000"/>
                <w:kern w:val="0"/>
                <w:sz w:val="22"/>
                <w:szCs w:val="22"/>
              </w:rPr>
              <w:t>22.02　</w:t>
            </w:r>
          </w:p>
        </w:tc>
        <w:tc>
          <w:tcPr>
            <w:tcW w:w="2250" w:type="dxa"/>
            <w:tcBorders>
              <w:top w:val="nil"/>
              <w:left w:val="nil"/>
              <w:bottom w:val="single" w:color="auto" w:sz="4" w:space="0"/>
              <w:right w:val="single" w:color="auto" w:sz="4" w:space="0"/>
            </w:tcBorders>
            <w:shd w:val="clear" w:color="auto" w:fill="auto"/>
            <w:noWrap/>
            <w:vAlign w:val="center"/>
          </w:tcPr>
          <w:p>
            <w:pPr>
              <w:widowControl/>
              <w:jc w:val="left"/>
              <w:rPr>
                <w:rFonts w:ascii="仿宋_GB2312" w:hAnsi="宋体" w:eastAsia="仿宋_GB2312" w:cs="宋体"/>
                <w:kern w:val="0"/>
                <w:sz w:val="20"/>
                <w:szCs w:val="20"/>
              </w:rPr>
            </w:pPr>
            <w:r>
              <w:rPr>
                <w:rFonts w:hint="eastAsia" w:ascii="仿宋_GB2312" w:hAnsi="宋体" w:eastAsia="仿宋_GB2312" w:cs="宋体"/>
                <w:kern w:val="0"/>
                <w:sz w:val="20"/>
                <w:szCs w:val="20"/>
              </w:rPr>
              <w:t>支  出  总  计</w:t>
            </w:r>
          </w:p>
        </w:tc>
        <w:tc>
          <w:tcPr>
            <w:tcW w:w="1294"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22.02　</w:t>
            </w:r>
          </w:p>
        </w:tc>
        <w:tc>
          <w:tcPr>
            <w:tcW w:w="1418"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color w:val="000000"/>
                <w:kern w:val="0"/>
                <w:sz w:val="22"/>
                <w:szCs w:val="22"/>
              </w:rPr>
              <w:t>22.02　</w:t>
            </w:r>
          </w:p>
        </w:tc>
        <w:tc>
          <w:tcPr>
            <w:tcW w:w="1417" w:type="dxa"/>
            <w:tcBorders>
              <w:top w:val="nil"/>
              <w:left w:val="nil"/>
              <w:bottom w:val="single" w:color="auto" w:sz="4" w:space="0"/>
              <w:right w:val="single" w:color="auto" w:sz="4" w:space="0"/>
            </w:tcBorders>
            <w:shd w:val="clear" w:color="auto" w:fill="auto"/>
            <w:vAlign w:val="center"/>
          </w:tcPr>
          <w:p>
            <w:pPr>
              <w:widowControl/>
              <w:jc w:val="right"/>
              <w:rPr>
                <w:rFonts w:ascii="宋体" w:hAnsi="宋体" w:cs="宋体"/>
                <w:kern w:val="0"/>
                <w:sz w:val="18"/>
                <w:szCs w:val="18"/>
              </w:rPr>
            </w:pPr>
            <w:r>
              <w:rPr>
                <w:rFonts w:hint="eastAsia" w:ascii="宋体" w:hAnsi="宋体" w:cs="宋体"/>
                <w:kern w:val="0"/>
                <w:sz w:val="18"/>
                <w:szCs w:val="18"/>
              </w:rPr>
              <w:t>　</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7"/>
        <w:tblW w:w="9166" w:type="dxa"/>
        <w:tblInd w:w="93" w:type="dxa"/>
        <w:tblLayout w:type="fixed"/>
        <w:tblCellMar>
          <w:top w:w="0" w:type="dxa"/>
          <w:left w:w="108" w:type="dxa"/>
          <w:bottom w:w="0" w:type="dxa"/>
          <w:right w:w="108" w:type="dxa"/>
        </w:tblCellMar>
      </w:tblPr>
      <w:tblGrid>
        <w:gridCol w:w="519"/>
        <w:gridCol w:w="492"/>
        <w:gridCol w:w="418"/>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166" w:type="dxa"/>
            <w:gridSpan w:val="9"/>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39" w:type="dxa"/>
            <w:gridSpan w:val="4"/>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w:t>
            </w:r>
            <w:r>
              <w:rPr>
                <w:rFonts w:hint="eastAsia" w:ascii="仿宋_GB2312" w:hAnsi="宋体" w:eastAsia="仿宋_GB2312"/>
                <w:kern w:val="0"/>
                <w:sz w:val="24"/>
              </w:rPr>
              <w:t>新疆昌吉方汇水电设计</w:t>
            </w:r>
          </w:p>
        </w:tc>
        <w:tc>
          <w:tcPr>
            <w:tcW w:w="660"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shd w:val="clear" w:color="auto" w:fill="auto"/>
            <w:noWrap/>
            <w:vAlign w:val="center"/>
          </w:tcPr>
          <w:p>
            <w:pPr>
              <w:widowControl/>
              <w:ind w:right="960"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39" w:type="dxa"/>
            <w:gridSpan w:val="4"/>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项目</w:t>
            </w:r>
          </w:p>
        </w:tc>
        <w:tc>
          <w:tcPr>
            <w:tcW w:w="5227"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29"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小计</w:t>
            </w:r>
          </w:p>
        </w:tc>
        <w:tc>
          <w:tcPr>
            <w:tcW w:w="1842"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213</w:t>
            </w: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03</w:t>
            </w: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03</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ascii="仿宋_GB2312" w:hAnsi="宋体" w:eastAsia="仿宋_GB2312" w:cs="宋体"/>
                <w:b/>
                <w:color w:val="000000"/>
                <w:kern w:val="0"/>
                <w:sz w:val="20"/>
                <w:szCs w:val="20"/>
              </w:rPr>
              <w:t>机关服务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22.02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22.02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color w:val="000000"/>
                <w:kern w:val="0"/>
                <w:sz w:val="20"/>
                <w:szCs w:val="20"/>
              </w:rPr>
            </w:pPr>
            <w:r>
              <w:rPr>
                <w:rFonts w:hint="eastAsia" w:ascii="仿宋_GB2312" w:hAnsi="宋体" w:eastAsia="仿宋_GB2312" w:cs="宋体"/>
                <w:b/>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19"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92"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2510"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color w:val="000000"/>
                <w:kern w:val="0"/>
                <w:sz w:val="20"/>
                <w:szCs w:val="20"/>
              </w:rPr>
              <w:t>合计</w:t>
            </w:r>
          </w:p>
        </w:tc>
        <w:tc>
          <w:tcPr>
            <w:tcW w:w="1684"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22.02</w:t>
            </w:r>
          </w:p>
        </w:tc>
        <w:tc>
          <w:tcPr>
            <w:tcW w:w="1842"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22.02</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7"/>
        <w:tblW w:w="9087" w:type="dxa"/>
        <w:tblInd w:w="93" w:type="dxa"/>
        <w:tblLayout w:type="fixed"/>
        <w:tblCellMar>
          <w:top w:w="0" w:type="dxa"/>
          <w:left w:w="108" w:type="dxa"/>
          <w:bottom w:w="0" w:type="dxa"/>
          <w:right w:w="108" w:type="dxa"/>
        </w:tblCellMar>
      </w:tblPr>
      <w:tblGrid>
        <w:gridCol w:w="516"/>
        <w:gridCol w:w="577"/>
        <w:gridCol w:w="3041"/>
        <w:gridCol w:w="845"/>
        <w:gridCol w:w="706"/>
        <w:gridCol w:w="976"/>
        <w:gridCol w:w="725"/>
        <w:gridCol w:w="1701"/>
      </w:tblGrid>
      <w:tr>
        <w:tblPrEx>
          <w:tblLayout w:type="fixed"/>
          <w:tblCellMar>
            <w:top w:w="0" w:type="dxa"/>
            <w:left w:w="108" w:type="dxa"/>
            <w:bottom w:w="0" w:type="dxa"/>
            <w:right w:w="108" w:type="dxa"/>
          </w:tblCellMar>
        </w:tblPrEx>
        <w:trPr>
          <w:trHeight w:val="375" w:hRule="atLeast"/>
        </w:trPr>
        <w:tc>
          <w:tcPr>
            <w:tcW w:w="9087" w:type="dxa"/>
            <w:gridSpan w:val="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405" w:hRule="atLeast"/>
        </w:trPr>
        <w:tc>
          <w:tcPr>
            <w:tcW w:w="4134"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编制部门：新疆昌吉方汇水电设计有限公司</w:t>
            </w:r>
          </w:p>
        </w:tc>
        <w:tc>
          <w:tcPr>
            <w:tcW w:w="845" w:type="dxa"/>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2"/>
            <w:tcBorders>
              <w:top w:val="nil"/>
              <w:left w:val="nil"/>
              <w:bottom w:val="nil"/>
              <w:right w:val="nil"/>
            </w:tcBorders>
            <w:shd w:val="clear" w:color="auto" w:fill="auto"/>
            <w:noWrap/>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390" w:hRule="atLeast"/>
        </w:trPr>
        <w:tc>
          <w:tcPr>
            <w:tcW w:w="4134"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4953" w:type="dxa"/>
            <w:gridSpan w:val="5"/>
            <w:tcBorders>
              <w:top w:val="single" w:color="auto" w:sz="4" w:space="0"/>
              <w:left w:val="nil"/>
              <w:bottom w:val="single" w:color="auto" w:sz="4" w:space="0"/>
              <w:right w:val="single" w:color="000000"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495" w:hRule="atLeast"/>
        </w:trPr>
        <w:tc>
          <w:tcPr>
            <w:tcW w:w="1093" w:type="dxa"/>
            <w:gridSpan w:val="2"/>
            <w:tcBorders>
              <w:top w:val="single" w:color="auto" w:sz="4" w:space="0"/>
              <w:left w:val="single" w:color="auto" w:sz="4" w:space="0"/>
              <w:bottom w:val="single" w:color="auto" w:sz="4" w:space="0"/>
              <w:right w:val="nil"/>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304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55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小计</w:t>
            </w:r>
          </w:p>
        </w:tc>
        <w:tc>
          <w:tcPr>
            <w:tcW w:w="1701" w:type="dxa"/>
            <w:gridSpan w:val="2"/>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270"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304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55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213</w:t>
            </w: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hint="default" w:ascii="仿宋_GB2312" w:hAnsi="宋体" w:eastAsia="仿宋_GB2312" w:cs="宋体"/>
                <w:color w:val="000000"/>
                <w:kern w:val="0"/>
                <w:sz w:val="20"/>
                <w:szCs w:val="20"/>
                <w:lang w:val="en-US" w:eastAsia="zh-CN"/>
              </w:rPr>
            </w:pPr>
            <w:r>
              <w:rPr>
                <w:rFonts w:hint="eastAsia" w:ascii="仿宋_GB2312" w:hAnsi="宋体" w:eastAsia="仿宋_GB2312" w:cs="宋体"/>
                <w:color w:val="000000"/>
                <w:kern w:val="0"/>
                <w:sz w:val="20"/>
                <w:szCs w:val="20"/>
                <w:lang w:val="en-US" w:eastAsia="zh-CN"/>
              </w:rPr>
              <w:t>03</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hint="eastAsia" w:ascii="仿宋_GB2312" w:hAnsi="宋体" w:eastAsia="仿宋_GB2312" w:cs="宋体"/>
                <w:color w:val="000000"/>
                <w:kern w:val="0"/>
                <w:sz w:val="20"/>
                <w:szCs w:val="20"/>
                <w:lang w:eastAsia="zh-CN"/>
              </w:rPr>
            </w:pPr>
            <w:r>
              <w:rPr>
                <w:rFonts w:hint="eastAsia" w:ascii="仿宋_GB2312" w:hAnsi="宋体" w:eastAsia="仿宋_GB2312" w:cs="宋体"/>
                <w:color w:val="000000"/>
                <w:kern w:val="0"/>
                <w:sz w:val="20"/>
                <w:szCs w:val="20"/>
                <w:lang w:eastAsia="zh-CN"/>
              </w:rPr>
              <w:t>机关服务</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22.02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19.6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2.42</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ind w:right="147" w:rightChars="70"/>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2"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r>
      <w:tr>
        <w:tblPrEx>
          <w:tblLayout w:type="fixed"/>
          <w:tblCellMar>
            <w:top w:w="0" w:type="dxa"/>
            <w:left w:w="108" w:type="dxa"/>
            <w:bottom w:w="0" w:type="dxa"/>
            <w:right w:w="108" w:type="dxa"/>
          </w:tblCellMar>
        </w:tblPrEx>
        <w:trPr>
          <w:trHeight w:val="401" w:hRule="atLeast"/>
        </w:trPr>
        <w:tc>
          <w:tcPr>
            <w:tcW w:w="516"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57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w:t>
            </w:r>
          </w:p>
        </w:tc>
        <w:tc>
          <w:tcPr>
            <w:tcW w:w="3041"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color w:val="000000"/>
                <w:kern w:val="0"/>
                <w:sz w:val="20"/>
                <w:szCs w:val="20"/>
              </w:rPr>
            </w:pPr>
            <w:r>
              <w:rPr>
                <w:rFonts w:hint="eastAsia" w:ascii="宋体" w:hAnsi="宋体" w:cs="宋体"/>
                <w:b/>
                <w:bCs/>
                <w:color w:val="000000"/>
                <w:kern w:val="0"/>
                <w:sz w:val="20"/>
                <w:szCs w:val="20"/>
              </w:rPr>
              <w:t>合计</w:t>
            </w:r>
          </w:p>
        </w:tc>
        <w:tc>
          <w:tcPr>
            <w:tcW w:w="1551" w:type="dxa"/>
            <w:gridSpan w:val="2"/>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0"/>
                <w:szCs w:val="20"/>
              </w:rPr>
            </w:pPr>
            <w:r>
              <w:rPr>
                <w:rFonts w:hint="eastAsia" w:ascii="宋体" w:hAnsi="宋体" w:cs="宋体"/>
                <w:color w:val="000000"/>
                <w:kern w:val="0"/>
                <w:sz w:val="20"/>
                <w:szCs w:val="20"/>
              </w:rPr>
              <w:t>　22.02</w:t>
            </w:r>
          </w:p>
        </w:tc>
        <w:tc>
          <w:tcPr>
            <w:tcW w:w="1701" w:type="dxa"/>
            <w:gridSpan w:val="2"/>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rPr>
              <w:t>　</w:t>
            </w:r>
            <w:r>
              <w:rPr>
                <w:rFonts w:hint="eastAsia" w:ascii="宋体" w:hAnsi="宋体" w:cs="宋体"/>
                <w:color w:val="000000"/>
                <w:kern w:val="0"/>
                <w:sz w:val="20"/>
                <w:szCs w:val="20"/>
                <w:lang w:val="en-US" w:eastAsia="zh-CN"/>
              </w:rPr>
              <w:t>19.6</w:t>
            </w:r>
          </w:p>
        </w:tc>
        <w:tc>
          <w:tcPr>
            <w:tcW w:w="1701" w:type="dxa"/>
            <w:tcBorders>
              <w:top w:val="nil"/>
              <w:left w:val="nil"/>
              <w:bottom w:val="single" w:color="auto" w:sz="4" w:space="0"/>
              <w:right w:val="single" w:color="auto" w:sz="4" w:space="0"/>
            </w:tcBorders>
            <w:shd w:val="clear" w:color="auto" w:fill="auto"/>
            <w:vAlign w:val="center"/>
          </w:tcPr>
          <w:p>
            <w:pPr>
              <w:widowControl/>
              <w:jc w:val="left"/>
              <w:rPr>
                <w:rFonts w:hint="default" w:ascii="宋体" w:hAnsi="宋体" w:eastAsia="宋体" w:cs="宋体"/>
                <w:color w:val="000000"/>
                <w:kern w:val="0"/>
                <w:sz w:val="20"/>
                <w:szCs w:val="20"/>
                <w:lang w:val="en-US" w:eastAsia="zh-CN"/>
              </w:rPr>
            </w:pPr>
            <w:r>
              <w:rPr>
                <w:rFonts w:hint="eastAsia" w:ascii="宋体" w:hAnsi="宋体" w:cs="宋体"/>
                <w:color w:val="000000"/>
                <w:kern w:val="0"/>
                <w:sz w:val="20"/>
                <w:szCs w:val="20"/>
                <w:lang w:val="en-US" w:eastAsia="zh-CN"/>
              </w:rPr>
              <w:t>2.42</w:t>
            </w:r>
          </w:p>
        </w:tc>
      </w:tr>
    </w:tbl>
    <w:p>
      <w:pPr>
        <w:widowControl/>
        <w:outlineLvl w:val="1"/>
        <w:rPr>
          <w:rFonts w:ascii="仿宋_GB2312" w:hAnsi="宋体" w:eastAsia="仿宋_GB2312"/>
          <w:b/>
          <w:kern w:val="0"/>
          <w:sz w:val="28"/>
          <w:szCs w:val="32"/>
        </w:rPr>
      </w:pPr>
      <w:r>
        <w:rPr>
          <w:rFonts w:hint="eastAsia" w:ascii="仿宋_GB2312" w:hAnsi="宋体" w:eastAsia="仿宋_GB2312"/>
          <w:b/>
          <w:kern w:val="0"/>
          <w:sz w:val="28"/>
          <w:szCs w:val="32"/>
        </w:rPr>
        <w:t>备注：无内容应公开空表并说明情况。</w:t>
      </w:r>
    </w:p>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7"/>
        <w:tblW w:w="9469" w:type="dxa"/>
        <w:tblInd w:w="93" w:type="dxa"/>
        <w:tblLayout w:type="fixed"/>
        <w:tblCellMar>
          <w:top w:w="0" w:type="dxa"/>
          <w:left w:w="108" w:type="dxa"/>
          <w:bottom w:w="0" w:type="dxa"/>
          <w:right w:w="108" w:type="dxa"/>
        </w:tblCellMar>
      </w:tblPr>
      <w:tblGrid>
        <w:gridCol w:w="8"/>
        <w:gridCol w:w="389"/>
        <w:gridCol w:w="397"/>
        <w:gridCol w:w="397"/>
        <w:gridCol w:w="851"/>
        <w:gridCol w:w="1456"/>
        <w:gridCol w:w="750"/>
        <w:gridCol w:w="110"/>
        <w:gridCol w:w="459"/>
        <w:gridCol w:w="536"/>
        <w:gridCol w:w="652"/>
        <w:gridCol w:w="652"/>
        <w:gridCol w:w="378"/>
        <w:gridCol w:w="200"/>
        <w:gridCol w:w="419"/>
        <w:gridCol w:w="578"/>
        <w:gridCol w:w="420"/>
        <w:gridCol w:w="420"/>
        <w:gridCol w:w="389"/>
        <w:gridCol w:w="8"/>
      </w:tblGrid>
      <w:tr>
        <w:tblPrEx>
          <w:tblLayout w:type="fixed"/>
          <w:tblCellMar>
            <w:top w:w="0" w:type="dxa"/>
            <w:left w:w="108" w:type="dxa"/>
            <w:bottom w:w="0" w:type="dxa"/>
            <w:right w:w="108" w:type="dxa"/>
          </w:tblCellMar>
        </w:tblPrEx>
        <w:trPr>
          <w:gridBefore w:val="1"/>
          <w:gridAfter w:val="1"/>
          <w:wBefore w:w="8" w:type="dxa"/>
          <w:wAfter w:w="8" w:type="dxa"/>
          <w:trHeight w:val="375" w:hRule="atLeast"/>
        </w:trPr>
        <w:tc>
          <w:tcPr>
            <w:tcW w:w="9453" w:type="dxa"/>
            <w:gridSpan w:val="18"/>
            <w:tcBorders>
              <w:top w:val="nil"/>
              <w:left w:val="nil"/>
              <w:bottom w:val="nil"/>
              <w:right w:val="nil"/>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项目支出情况表</w:t>
            </w:r>
          </w:p>
        </w:tc>
      </w:tr>
      <w:tr>
        <w:tblPrEx>
          <w:tblLayout w:type="fixed"/>
          <w:tblCellMar>
            <w:top w:w="0" w:type="dxa"/>
            <w:left w:w="108" w:type="dxa"/>
            <w:bottom w:w="0" w:type="dxa"/>
            <w:right w:w="108" w:type="dxa"/>
          </w:tblCellMar>
        </w:tblPrEx>
        <w:trPr>
          <w:gridBefore w:val="1"/>
          <w:gridAfter w:val="1"/>
          <w:wBefore w:w="8" w:type="dxa"/>
          <w:wAfter w:w="8" w:type="dxa"/>
          <w:trHeight w:val="405" w:hRule="atLeast"/>
        </w:trPr>
        <w:tc>
          <w:tcPr>
            <w:tcW w:w="4350" w:type="dxa"/>
            <w:gridSpan w:val="7"/>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编制部门：新疆昌吉方汇水电设计公司</w:t>
            </w:r>
          </w:p>
        </w:tc>
        <w:tc>
          <w:tcPr>
            <w:tcW w:w="995" w:type="dxa"/>
            <w:gridSpan w:val="2"/>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p>
        </w:tc>
        <w:tc>
          <w:tcPr>
            <w:tcW w:w="1682" w:type="dxa"/>
            <w:gridSpan w:val="3"/>
            <w:tcBorders>
              <w:top w:val="nil"/>
              <w:left w:val="nil"/>
              <w:bottom w:val="nil"/>
              <w:right w:val="nil"/>
            </w:tcBorders>
            <w:shd w:val="clear" w:color="auto" w:fill="auto"/>
            <w:noWrap/>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26" w:type="dxa"/>
            <w:gridSpan w:val="6"/>
            <w:tcBorders>
              <w:top w:val="nil"/>
              <w:left w:val="nil"/>
              <w:bottom w:val="nil"/>
              <w:right w:val="nil"/>
            </w:tcBorders>
            <w:shd w:val="clear" w:color="auto" w:fill="auto"/>
            <w:noWrap/>
            <w:vAlign w:val="center"/>
          </w:tcPr>
          <w:p>
            <w:pPr>
              <w:widowControl/>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30" w:hRule="atLeast"/>
        </w:trPr>
        <w:tc>
          <w:tcPr>
            <w:tcW w:w="1191" w:type="dxa"/>
            <w:gridSpan w:val="4"/>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851" w:type="dxa"/>
            <w:vMerge w:val="restart"/>
            <w:shd w:val="clear" w:color="auto" w:fill="auto"/>
            <w:noWrap/>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456" w:type="dxa"/>
            <w:vMerge w:val="restart"/>
            <w:shd w:val="clear" w:color="auto" w:fill="auto"/>
            <w:noWrap/>
            <w:vAlign w:val="center"/>
          </w:tcPr>
          <w:p>
            <w:pPr>
              <w:jc w:val="center"/>
              <w:rPr>
                <w:rFonts w:ascii="Calibri" w:hAnsi="Calibri"/>
                <w:sz w:val="24"/>
              </w:rPr>
            </w:pPr>
            <w:r>
              <w:rPr>
                <w:rFonts w:hint="eastAsia" w:ascii="仿宋_GB2312" w:hAnsi="宋体" w:eastAsia="仿宋_GB2312"/>
                <w:b/>
                <w:kern w:val="0"/>
                <w:sz w:val="24"/>
              </w:rPr>
              <w:t>项目名称</w:t>
            </w:r>
          </w:p>
        </w:tc>
        <w:tc>
          <w:tcPr>
            <w:tcW w:w="75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69"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36"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52"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578"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19"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578"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20" w:type="dxa"/>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397" w:type="dxa"/>
            <w:gridSpan w:val="2"/>
            <w:vMerge w:val="restart"/>
            <w:shd w:val="clear" w:color="auto" w:fill="auto"/>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367" w:hRule="atLeast"/>
        </w:trPr>
        <w:tc>
          <w:tcPr>
            <w:tcW w:w="397" w:type="dxa"/>
            <w:gridSpan w:val="2"/>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类</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款</w:t>
            </w:r>
          </w:p>
        </w:tc>
        <w:tc>
          <w:tcPr>
            <w:tcW w:w="397" w:type="dxa"/>
            <w:tcBorders>
              <w:bottom w:val="single" w:color="auto" w:sz="4" w:space="0"/>
            </w:tcBorders>
            <w:shd w:val="clear" w:color="auto" w:fill="auto"/>
            <w:noWrap/>
            <w:vAlign w:val="center"/>
          </w:tcPr>
          <w:p>
            <w:pPr>
              <w:widowControl/>
              <w:jc w:val="left"/>
              <w:outlineLvl w:val="1"/>
              <w:rPr>
                <w:rFonts w:ascii="仿宋_GB2312" w:hAnsi="宋体" w:eastAsia="仿宋_GB2312"/>
                <w:b/>
                <w:kern w:val="0"/>
                <w:sz w:val="18"/>
                <w:szCs w:val="18"/>
              </w:rPr>
            </w:pPr>
            <w:r>
              <w:rPr>
                <w:rFonts w:hint="eastAsia" w:ascii="仿宋_GB2312" w:hAnsi="宋体" w:eastAsia="仿宋_GB2312"/>
                <w:b/>
                <w:kern w:val="0"/>
                <w:sz w:val="18"/>
                <w:szCs w:val="18"/>
              </w:rPr>
              <w:t>项</w:t>
            </w:r>
          </w:p>
        </w:tc>
        <w:tc>
          <w:tcPr>
            <w:tcW w:w="851" w:type="dxa"/>
            <w:vMerge w:val="continue"/>
            <w:tcBorders>
              <w:bottom w:val="single" w:color="auto" w:sz="4" w:space="0"/>
            </w:tcBorders>
            <w:shd w:val="clear" w:color="auto" w:fill="auto"/>
            <w:vAlign w:val="center"/>
          </w:tcPr>
          <w:p>
            <w:pPr>
              <w:widowControl/>
              <w:jc w:val="left"/>
              <w:outlineLvl w:val="1"/>
              <w:rPr>
                <w:rFonts w:ascii="仿宋_GB2312" w:hAnsi="宋体" w:eastAsia="仿宋_GB2312"/>
                <w:b/>
                <w:kern w:val="0"/>
                <w:sz w:val="18"/>
                <w:szCs w:val="18"/>
              </w:rPr>
            </w:pPr>
          </w:p>
        </w:tc>
        <w:tc>
          <w:tcPr>
            <w:tcW w:w="145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75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69"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36"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652"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19"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578"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420" w:type="dxa"/>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c>
          <w:tcPr>
            <w:tcW w:w="397" w:type="dxa"/>
            <w:gridSpan w:val="2"/>
            <w:vMerge w:val="continue"/>
            <w:tcBorders>
              <w:bottom w:val="single" w:color="auto" w:sz="4" w:space="0"/>
            </w:tcBorders>
            <w:shd w:val="clear" w:color="auto" w:fill="auto"/>
          </w:tcPr>
          <w:p>
            <w:pPr>
              <w:widowControl/>
              <w:jc w:val="left"/>
              <w:outlineLvl w:val="1"/>
              <w:rPr>
                <w:rFonts w:ascii="仿宋_GB2312" w:hAnsi="宋体" w:eastAsia="仿宋_GB2312"/>
                <w:b/>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75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85" w:hRule="atLeast"/>
        </w:trPr>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851"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1456" w:type="dxa"/>
            <w:shd w:val="clear" w:color="auto" w:fill="auto"/>
            <w:vAlign w:val="center"/>
          </w:tcPr>
          <w:p>
            <w:pPr>
              <w:widowControl/>
              <w:jc w:val="center"/>
              <w:outlineLvl w:val="1"/>
              <w:rPr>
                <w:rFonts w:ascii="仿宋_GB2312" w:hAnsi="宋体" w:eastAsia="仿宋_GB2312"/>
                <w:kern w:val="0"/>
                <w:sz w:val="32"/>
                <w:szCs w:val="32"/>
              </w:rPr>
            </w:pPr>
            <w:r>
              <w:rPr>
                <w:rFonts w:hint="eastAsia" w:ascii="仿宋_GB2312" w:hAnsi="宋体" w:eastAsia="仿宋_GB2312"/>
                <w:kern w:val="0"/>
                <w:szCs w:val="21"/>
              </w:rPr>
              <w:t>合计</w:t>
            </w:r>
          </w:p>
        </w:tc>
        <w:tc>
          <w:tcPr>
            <w:tcW w:w="750" w:type="dxa"/>
            <w:shd w:val="clear" w:color="auto" w:fill="auto"/>
            <w:vAlign w:val="center"/>
          </w:tcPr>
          <w:p>
            <w:pPr>
              <w:widowControl/>
              <w:jc w:val="center"/>
              <w:outlineLvl w:val="1"/>
              <w:rPr>
                <w:rFonts w:ascii="仿宋_GB2312" w:hAnsi="宋体" w:eastAsia="仿宋_GB2312"/>
                <w:kern w:val="0"/>
                <w:szCs w:val="21"/>
              </w:rPr>
            </w:pPr>
          </w:p>
        </w:tc>
        <w:tc>
          <w:tcPr>
            <w:tcW w:w="569"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36"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652"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19"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578"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420" w:type="dxa"/>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c>
          <w:tcPr>
            <w:tcW w:w="397" w:type="dxa"/>
            <w:gridSpan w:val="2"/>
            <w:shd w:val="clear" w:color="auto" w:fill="auto"/>
          </w:tcPr>
          <w:p>
            <w:pPr>
              <w:widowControl/>
              <w:jc w:val="left"/>
              <w:outlineLvl w:val="1"/>
              <w:rPr>
                <w:rFonts w:ascii="仿宋_GB2312" w:hAnsi="宋体" w:eastAsia="仿宋_GB2312"/>
                <w:kern w:val="0"/>
                <w:sz w:val="32"/>
                <w:szCs w:val="32"/>
              </w:rPr>
            </w:pPr>
            <w:r>
              <w:rPr>
                <w:rFonts w:hint="eastAsia" w:ascii="仿宋_GB2312" w:hAnsi="宋体" w:eastAsia="仿宋_GB2312"/>
                <w:kern w:val="0"/>
                <w:sz w:val="32"/>
                <w:szCs w:val="32"/>
              </w:rPr>
              <w:t>　</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highlight w:val="yellow"/>
        </w:rPr>
        <w:t>无内容应公开空表并说明情况</w:t>
      </w:r>
      <w:r>
        <w:rPr>
          <w:rFonts w:hint="eastAsia" w:ascii="仿宋_GB2312" w:hAnsi="宋体" w:eastAsia="仿宋_GB2312"/>
          <w:b/>
          <w:kern w:val="0"/>
          <w:sz w:val="28"/>
          <w:szCs w:val="32"/>
        </w:rPr>
        <w:t>。</w:t>
      </w:r>
    </w:p>
    <w:p>
      <w:pPr>
        <w:spacing w:line="560" w:lineRule="exact"/>
        <w:ind w:firstLine="640" w:firstLineChars="200"/>
        <w:rPr>
          <w:rFonts w:hint="eastAsia" w:ascii="仿宋_GB2312" w:hAnsi="宋体" w:eastAsia="仿宋_GB2312"/>
          <w:color w:val="000000" w:themeColor="text1"/>
          <w:sz w:val="32"/>
          <w:szCs w:val="32"/>
          <w:lang w:eastAsia="zh-CN"/>
        </w:rPr>
      </w:pPr>
      <w:r>
        <w:rPr>
          <w:rFonts w:hint="eastAsia" w:ascii="仿宋_GB2312" w:hAnsi="宋体" w:eastAsia="仿宋_GB2312"/>
          <w:color w:val="000000" w:themeColor="text1"/>
          <w:sz w:val="32"/>
          <w:szCs w:val="32"/>
          <w:lang w:eastAsia="zh-CN"/>
        </w:rPr>
        <w:t>新疆昌吉方汇水电设计有限公司无项目支出。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olor w:val="000000" w:themeColor="text1"/>
          <w:sz w:val="32"/>
          <w:szCs w:val="32"/>
        </w:rPr>
      </w:pPr>
      <w:r>
        <w:rPr>
          <w:rFonts w:ascii="仿宋_GB2312" w:hAnsi="宋体" w:eastAsia="仿宋_GB2312"/>
          <w:color w:val="000000" w:themeColor="text1"/>
          <w:sz w:val="32"/>
          <w:szCs w:val="32"/>
        </w:rPr>
        <w:t>新疆昌吉方汇水电设计有限公司于2002年根据昌吉回族自治州经济体制改革领导小组下发的：昌改【2002】14号文件精神完成改制，改制基准日为：2001</w:t>
      </w:r>
      <w:r>
        <w:rPr>
          <w:rFonts w:hint="eastAsia" w:ascii="仿宋_GB2312" w:hAnsi="宋体" w:eastAsia="仿宋_GB2312"/>
          <w:color w:val="000000" w:themeColor="text1"/>
          <w:sz w:val="32"/>
          <w:szCs w:val="32"/>
          <w:lang w:eastAsia="zh-CN"/>
        </w:rPr>
        <w:t>年</w:t>
      </w:r>
      <w:r>
        <w:rPr>
          <w:rFonts w:ascii="仿宋_GB2312" w:hAnsi="宋体" w:eastAsia="仿宋_GB2312"/>
          <w:color w:val="000000" w:themeColor="text1"/>
          <w:sz w:val="32"/>
          <w:szCs w:val="32"/>
        </w:rPr>
        <w:t>12月31日。我公司自改制以来一直认真按照文件规定执行，</w:t>
      </w:r>
      <w:r>
        <w:rPr>
          <w:rFonts w:hint="eastAsia" w:ascii="仿宋_GB2312" w:hAnsi="宋体" w:eastAsia="仿宋_GB2312"/>
          <w:color w:val="000000" w:themeColor="text1"/>
          <w:sz w:val="32"/>
          <w:szCs w:val="32"/>
        </w:rPr>
        <w:t>2016年将退休人员工资交付社保局发放</w:t>
      </w:r>
      <w:r>
        <w:rPr>
          <w:rFonts w:hint="eastAsia" w:ascii="仿宋_GB2312" w:hAnsi="宋体" w:eastAsia="仿宋_GB2312"/>
          <w:color w:val="000000" w:themeColor="text1"/>
          <w:sz w:val="32"/>
          <w:szCs w:val="32"/>
          <w:lang w:eastAsia="zh-CN"/>
        </w:rPr>
        <w:t>。我单位负责代缴原事业单位退休人员基本医疗保险、公务员医疗补助、代发退休人员活动费、采暖费等。</w:t>
      </w:r>
    </w:p>
    <w:p>
      <w:pPr>
        <w:widowControl/>
        <w:outlineLvl w:val="1"/>
        <w:rPr>
          <w:rFonts w:hint="eastAsia" w:ascii="仿宋_GB2312" w:hAnsi="宋体" w:eastAsia="仿宋_GB2312"/>
          <w:b/>
          <w:kern w:val="0"/>
          <w:sz w:val="28"/>
          <w:szCs w:val="32"/>
        </w:rPr>
      </w:pPr>
    </w:p>
    <w:p>
      <w:pPr>
        <w:widowControl/>
        <w:outlineLvl w:val="1"/>
        <w:rPr>
          <w:rFonts w:hint="eastAsia" w:ascii="仿宋_GB2312" w:hAnsi="宋体" w:eastAsia="仿宋_GB2312"/>
          <w:b/>
          <w:kern w:val="0"/>
          <w:sz w:val="28"/>
          <w:szCs w:val="32"/>
        </w:rPr>
      </w:pPr>
    </w:p>
    <w:p>
      <w:pPr>
        <w:widowControl/>
        <w:jc w:val="left"/>
        <w:outlineLvl w:val="1"/>
        <w:rPr>
          <w:rFonts w:hint="eastAsia"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left"/>
        <w:outlineLvl w:val="1"/>
        <w:rPr>
          <w:rFonts w:ascii="仿宋_GB2312" w:hAnsi="宋体" w:eastAsia="仿宋_GB2312"/>
          <w:b/>
          <w:kern w:val="0"/>
          <w:sz w:val="32"/>
          <w:szCs w:val="32"/>
        </w:rPr>
      </w:pP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编制单位：新疆昌吉方汇水电设计有限公司                   单位：万元</w:t>
      </w:r>
    </w:p>
    <w:tbl>
      <w:tblPr>
        <w:tblStyle w:val="7"/>
        <w:tblW w:w="9087" w:type="dxa"/>
        <w:tblInd w:w="93" w:type="dxa"/>
        <w:tblLayout w:type="fixed"/>
        <w:tblCellMar>
          <w:top w:w="0" w:type="dxa"/>
          <w:left w:w="108" w:type="dxa"/>
          <w:bottom w:w="0" w:type="dxa"/>
          <w:right w:w="108" w:type="dxa"/>
        </w:tblCellMar>
      </w:tblPr>
      <w:tblGrid>
        <w:gridCol w:w="1575"/>
        <w:gridCol w:w="1417"/>
        <w:gridCol w:w="1559"/>
        <w:gridCol w:w="1418"/>
        <w:gridCol w:w="1559"/>
        <w:gridCol w:w="1559"/>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color w:val="000000"/>
                <w:kern w:val="0"/>
                <w:sz w:val="22"/>
                <w:szCs w:val="22"/>
              </w:rPr>
            </w:pPr>
            <w:r>
              <w:rPr>
                <w:rFonts w:hint="eastAsia" w:ascii="宋体" w:hAnsi="宋体"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小计</w:t>
            </w:r>
          </w:p>
        </w:tc>
        <w:tc>
          <w:tcPr>
            <w:tcW w:w="1418"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7"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418"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r>
    </w:tbl>
    <w:p>
      <w:pPr>
        <w:widowControl/>
        <w:outlineLvl w:val="1"/>
        <w:rPr>
          <w:rFonts w:hint="eastAsia" w:ascii="仿宋_GB2312" w:hAnsi="宋体" w:eastAsia="仿宋_GB2312"/>
          <w:b/>
          <w:kern w:val="0"/>
          <w:sz w:val="28"/>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highlight w:val="yellow"/>
        </w:rPr>
        <w:t>无内容应公开空表并说明情况</w:t>
      </w:r>
      <w:r>
        <w:rPr>
          <w:rFonts w:hint="eastAsia" w:ascii="仿宋_GB2312" w:hAnsi="宋体" w:eastAsia="仿宋_GB2312"/>
          <w:b/>
          <w:kern w:val="0"/>
          <w:sz w:val="28"/>
          <w:szCs w:val="32"/>
        </w:rPr>
        <w:t>。</w:t>
      </w:r>
    </w:p>
    <w:p>
      <w:pPr>
        <w:keepNext w:val="0"/>
        <w:keepLines w:val="0"/>
        <w:pageBreakBefore w:val="0"/>
        <w:widowControl/>
        <w:kinsoku/>
        <w:wordWrap/>
        <w:overflowPunct/>
        <w:topLinePunct w:val="0"/>
        <w:autoSpaceDE/>
        <w:autoSpaceDN/>
        <w:bidi w:val="0"/>
        <w:adjustRightInd/>
        <w:snapToGrid/>
        <w:spacing w:line="560" w:lineRule="exact"/>
        <w:ind w:firstLine="620"/>
        <w:textAlignment w:val="auto"/>
        <w:outlineLvl w:val="1"/>
        <w:rPr>
          <w:rFonts w:hint="eastAsia" w:ascii="仿宋_GB2312" w:hAnsi="宋体" w:eastAsia="仿宋_GB2312"/>
          <w:color w:val="000000" w:themeColor="text1"/>
          <w:sz w:val="32"/>
          <w:szCs w:val="32"/>
          <w:lang w:val="en-US" w:eastAsia="zh-CN"/>
        </w:rPr>
      </w:pPr>
      <w:r>
        <w:rPr>
          <w:rFonts w:hint="eastAsia" w:ascii="仿宋_GB2312" w:hAnsi="宋体" w:eastAsia="仿宋_GB2312"/>
          <w:color w:val="000000" w:themeColor="text1"/>
          <w:sz w:val="32"/>
          <w:szCs w:val="32"/>
          <w:lang w:val="en-US" w:eastAsia="zh-CN"/>
        </w:rPr>
        <w:t>新疆昌吉方汇水电设计有限公司无“三公”经费支出。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olor w:val="000000" w:themeColor="text1"/>
          <w:sz w:val="32"/>
          <w:szCs w:val="32"/>
        </w:rPr>
      </w:pPr>
      <w:r>
        <w:rPr>
          <w:rFonts w:ascii="仿宋_GB2312" w:hAnsi="宋体" w:eastAsia="仿宋_GB2312"/>
          <w:color w:val="000000" w:themeColor="text1"/>
          <w:sz w:val="32"/>
          <w:szCs w:val="32"/>
        </w:rPr>
        <w:t>新疆昌吉方汇水电设计有限公司于2002年根据昌吉回族自治州经济体制改革领导小组下发的：昌改【2002】14号文件精神完成改制，改制基准日为：2001</w:t>
      </w:r>
      <w:r>
        <w:rPr>
          <w:rFonts w:hint="eastAsia" w:ascii="仿宋_GB2312" w:hAnsi="宋体" w:eastAsia="仿宋_GB2312"/>
          <w:color w:val="000000" w:themeColor="text1"/>
          <w:sz w:val="32"/>
          <w:szCs w:val="32"/>
          <w:lang w:eastAsia="zh-CN"/>
        </w:rPr>
        <w:t>年</w:t>
      </w:r>
      <w:r>
        <w:rPr>
          <w:rFonts w:ascii="仿宋_GB2312" w:hAnsi="宋体" w:eastAsia="仿宋_GB2312"/>
          <w:color w:val="000000" w:themeColor="text1"/>
          <w:sz w:val="32"/>
          <w:szCs w:val="32"/>
        </w:rPr>
        <w:t>12月31日。我公司自改制以来一直认真按照文件规定执行，</w:t>
      </w:r>
      <w:r>
        <w:rPr>
          <w:rFonts w:hint="eastAsia" w:ascii="仿宋_GB2312" w:hAnsi="宋体" w:eastAsia="仿宋_GB2312"/>
          <w:color w:val="000000" w:themeColor="text1"/>
          <w:sz w:val="32"/>
          <w:szCs w:val="32"/>
        </w:rPr>
        <w:t>2016年将退休人员工资交付社保局发放</w:t>
      </w:r>
      <w:r>
        <w:rPr>
          <w:rFonts w:hint="eastAsia" w:ascii="仿宋_GB2312" w:hAnsi="宋体" w:eastAsia="仿宋_GB2312"/>
          <w:color w:val="000000" w:themeColor="text1"/>
          <w:sz w:val="32"/>
          <w:szCs w:val="32"/>
          <w:lang w:eastAsia="zh-CN"/>
        </w:rPr>
        <w:t>。我单位负责代缴原事业单位退休人员基本医疗保险、公务员医疗补助、代发退休人员活动费、采暖费等。</w:t>
      </w:r>
    </w:p>
    <w:p>
      <w:pPr>
        <w:widowControl/>
        <w:outlineLvl w:val="1"/>
        <w:rPr>
          <w:rFonts w:hint="eastAsia" w:ascii="仿宋_GB2312" w:hAnsi="宋体" w:eastAsia="仿宋_GB2312"/>
          <w:b/>
          <w:kern w:val="0"/>
          <w:sz w:val="28"/>
          <w:szCs w:val="32"/>
        </w:rPr>
      </w:pPr>
    </w:p>
    <w:p>
      <w:pPr>
        <w:keepNext w:val="0"/>
        <w:keepLines w:val="0"/>
        <w:pageBreakBefore w:val="0"/>
        <w:widowControl/>
        <w:kinsoku/>
        <w:wordWrap/>
        <w:overflowPunct/>
        <w:topLinePunct w:val="0"/>
        <w:autoSpaceDE/>
        <w:autoSpaceDN/>
        <w:bidi w:val="0"/>
        <w:adjustRightInd/>
        <w:snapToGrid/>
        <w:spacing w:line="560" w:lineRule="exact"/>
        <w:ind w:firstLine="620"/>
        <w:textAlignment w:val="auto"/>
        <w:outlineLvl w:val="1"/>
        <w:rPr>
          <w:rFonts w:hint="eastAsia" w:ascii="仿宋_GB2312" w:hAnsi="宋体" w:eastAsia="仿宋_GB2312"/>
          <w:color w:val="000000" w:themeColor="text1"/>
          <w:sz w:val="32"/>
          <w:szCs w:val="32"/>
          <w:lang w:val="en-US" w:eastAsia="zh-CN"/>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outlineLvl w:val="1"/>
        <w:rPr>
          <w:rFonts w:ascii="仿宋_GB2312" w:hAnsi="宋体" w:eastAsia="仿宋_GB2312"/>
          <w:kern w:val="0"/>
          <w:sz w:val="24"/>
        </w:rPr>
      </w:pPr>
      <w:r>
        <w:rPr>
          <w:rFonts w:hint="eastAsia" w:ascii="仿宋_GB2312" w:hAnsi="宋体" w:eastAsia="仿宋_GB2312"/>
          <w:kern w:val="0"/>
          <w:sz w:val="24"/>
        </w:rPr>
        <w:t>编制单位：新疆昌吉方汇水电设计有限公司                          单位：万元</w:t>
      </w:r>
    </w:p>
    <w:tbl>
      <w:tblPr>
        <w:tblStyle w:val="7"/>
        <w:tblW w:w="9087" w:type="dxa"/>
        <w:tblInd w:w="93" w:type="dxa"/>
        <w:tblLayout w:type="fixed"/>
        <w:tblCellMar>
          <w:top w:w="0" w:type="dxa"/>
          <w:left w:w="108" w:type="dxa"/>
          <w:bottom w:w="0" w:type="dxa"/>
          <w:right w:w="108" w:type="dxa"/>
        </w:tblCellMar>
      </w:tblPr>
      <w:tblGrid>
        <w:gridCol w:w="458"/>
        <w:gridCol w:w="457"/>
        <w:gridCol w:w="457"/>
        <w:gridCol w:w="2896"/>
        <w:gridCol w:w="1559"/>
        <w:gridCol w:w="1701"/>
        <w:gridCol w:w="1559"/>
      </w:tblGrid>
      <w:tr>
        <w:tblPrEx>
          <w:tblLayout w:type="fixed"/>
          <w:tblCellMar>
            <w:top w:w="0" w:type="dxa"/>
            <w:left w:w="108" w:type="dxa"/>
            <w:bottom w:w="0" w:type="dxa"/>
            <w:right w:w="108" w:type="dxa"/>
          </w:tblCellMar>
        </w:tblPrEx>
        <w:trPr>
          <w:trHeight w:val="465" w:hRule="atLeast"/>
        </w:trPr>
        <w:tc>
          <w:tcPr>
            <w:tcW w:w="4268" w:type="dxa"/>
            <w:gridSpan w:val="4"/>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819"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372" w:type="dxa"/>
            <w:gridSpan w:val="3"/>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896"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小计</w:t>
            </w:r>
          </w:p>
        </w:tc>
        <w:tc>
          <w:tcPr>
            <w:tcW w:w="1701"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896"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457"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701"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c>
          <w:tcPr>
            <w:tcW w:w="1559"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r>
        <w:tblPrEx>
          <w:tblLayout w:type="fixed"/>
          <w:tblCellMar>
            <w:top w:w="0" w:type="dxa"/>
            <w:left w:w="108" w:type="dxa"/>
            <w:bottom w:w="0" w:type="dxa"/>
            <w:right w:w="108" w:type="dxa"/>
          </w:tblCellMar>
        </w:tblPrEx>
        <w:trPr>
          <w:trHeight w:val="510" w:hRule="atLeast"/>
        </w:trPr>
        <w:tc>
          <w:tcPr>
            <w:tcW w:w="458" w:type="dxa"/>
            <w:tcBorders>
              <w:top w:val="nil"/>
              <w:left w:val="single" w:color="auto" w:sz="4" w:space="0"/>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noWrap/>
            <w:vAlign w:val="center"/>
          </w:tcPr>
          <w:p>
            <w:pPr>
              <w:widowControl/>
              <w:jc w:val="left"/>
              <w:rPr>
                <w:rFonts w:ascii="宋体" w:hAnsi="宋体" w:cs="宋体"/>
                <w:color w:val="000000"/>
                <w:kern w:val="0"/>
                <w:sz w:val="24"/>
              </w:rPr>
            </w:pPr>
            <w:r>
              <w:rPr>
                <w:rFonts w:hint="eastAsia" w:ascii="宋体" w:hAnsi="宋体" w:cs="宋体"/>
                <w:color w:val="000000"/>
                <w:kern w:val="0"/>
                <w:sz w:val="24"/>
              </w:rPr>
              <w:t>　</w:t>
            </w:r>
          </w:p>
        </w:tc>
        <w:tc>
          <w:tcPr>
            <w:tcW w:w="457" w:type="dxa"/>
            <w:tcBorders>
              <w:top w:val="nil"/>
              <w:left w:val="nil"/>
              <w:bottom w:val="single" w:color="auto" w:sz="4" w:space="0"/>
              <w:right w:val="single" w:color="auto" w:sz="4" w:space="0"/>
            </w:tcBorders>
            <w:shd w:val="clear" w:color="auto" w:fill="auto"/>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2896" w:type="dxa"/>
            <w:tcBorders>
              <w:top w:val="nil"/>
              <w:left w:val="nil"/>
              <w:bottom w:val="single" w:color="auto" w:sz="4" w:space="0"/>
              <w:right w:val="single" w:color="auto" w:sz="4" w:space="0"/>
            </w:tcBorders>
            <w:shd w:val="clear" w:color="auto" w:fill="auto"/>
            <w:vAlign w:val="center"/>
          </w:tcPr>
          <w:p>
            <w:pPr>
              <w:widowControl/>
              <w:jc w:val="center"/>
              <w:rPr>
                <w:rFonts w:ascii="仿宋_GB2312" w:hAnsi="宋体" w:eastAsia="仿宋_GB2312" w:cs="宋体"/>
                <w:color w:val="000000"/>
                <w:kern w:val="0"/>
                <w:sz w:val="24"/>
              </w:rPr>
            </w:pPr>
            <w:r>
              <w:rPr>
                <w:rFonts w:hint="eastAsia" w:ascii="仿宋_GB2312" w:hAnsi="宋体" w:eastAsia="仿宋_GB2312" w:cs="宋体"/>
                <w:color w:val="000000"/>
                <w:kern w:val="0"/>
                <w:sz w:val="24"/>
              </w:rPr>
              <w:t>合计</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701"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c>
          <w:tcPr>
            <w:tcW w:w="1559" w:type="dxa"/>
            <w:tcBorders>
              <w:top w:val="nil"/>
              <w:left w:val="nil"/>
              <w:bottom w:val="single" w:color="auto" w:sz="4" w:space="0"/>
              <w:right w:val="single" w:color="auto" w:sz="4" w:space="0"/>
            </w:tcBorders>
            <w:shd w:val="clear" w:color="auto" w:fill="auto"/>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　</w:t>
            </w:r>
          </w:p>
        </w:tc>
      </w:tr>
    </w:tbl>
    <w:p>
      <w:pPr>
        <w:widowControl/>
        <w:outlineLvl w:val="1"/>
        <w:rPr>
          <w:rFonts w:ascii="仿宋_GB2312" w:hAnsi="宋体" w:eastAsia="仿宋_GB2312"/>
          <w:kern w:val="0"/>
          <w:sz w:val="32"/>
          <w:szCs w:val="32"/>
        </w:rPr>
      </w:pPr>
      <w:r>
        <w:rPr>
          <w:rFonts w:hint="eastAsia" w:ascii="仿宋_GB2312" w:hAnsi="宋体" w:eastAsia="仿宋_GB2312"/>
          <w:b/>
          <w:kern w:val="0"/>
          <w:sz w:val="28"/>
          <w:szCs w:val="32"/>
        </w:rPr>
        <w:t>备注：</w:t>
      </w:r>
      <w:r>
        <w:rPr>
          <w:rFonts w:hint="eastAsia" w:ascii="仿宋_GB2312" w:hAnsi="宋体" w:eastAsia="仿宋_GB2312"/>
          <w:b/>
          <w:kern w:val="0"/>
          <w:sz w:val="28"/>
          <w:szCs w:val="32"/>
          <w:highlight w:val="yellow"/>
        </w:rPr>
        <w:t>无内容应公开空表并说明情况。</w:t>
      </w:r>
    </w:p>
    <w:p>
      <w:pPr>
        <w:keepNext w:val="0"/>
        <w:keepLines w:val="0"/>
        <w:pageBreakBefore w:val="0"/>
        <w:widowControl/>
        <w:kinsoku/>
        <w:wordWrap/>
        <w:overflowPunct/>
        <w:topLinePunct w:val="0"/>
        <w:autoSpaceDE/>
        <w:autoSpaceDN/>
        <w:bidi w:val="0"/>
        <w:adjustRightInd/>
        <w:snapToGrid/>
        <w:spacing w:line="560" w:lineRule="exact"/>
        <w:ind w:firstLine="620"/>
        <w:textAlignment w:val="auto"/>
        <w:outlineLvl w:val="1"/>
        <w:rPr>
          <w:rFonts w:hint="eastAsia" w:ascii="仿宋_GB2312" w:hAnsi="宋体" w:eastAsia="仿宋_GB2312"/>
          <w:color w:val="000000" w:themeColor="text1"/>
          <w:sz w:val="32"/>
          <w:szCs w:val="32"/>
          <w:lang w:val="en-US" w:eastAsia="zh-CN"/>
        </w:rPr>
      </w:pPr>
      <w:r>
        <w:rPr>
          <w:rFonts w:hint="eastAsia" w:ascii="仿宋_GB2312" w:hAnsi="宋体" w:eastAsia="仿宋_GB2312"/>
          <w:color w:val="000000" w:themeColor="text1"/>
          <w:sz w:val="32"/>
          <w:szCs w:val="32"/>
          <w:lang w:val="en-US" w:eastAsia="zh-CN"/>
        </w:rPr>
        <w:t>新疆昌吉方汇水电设计有限公司无政府性基金预算支出。</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ascii="仿宋_GB2312" w:hAnsi="宋体" w:eastAsia="仿宋_GB2312"/>
          <w:color w:val="000000" w:themeColor="text1"/>
          <w:sz w:val="32"/>
          <w:szCs w:val="32"/>
        </w:rPr>
      </w:pPr>
      <w:r>
        <w:rPr>
          <w:rFonts w:ascii="仿宋_GB2312" w:hAnsi="宋体" w:eastAsia="仿宋_GB2312"/>
          <w:color w:val="000000" w:themeColor="text1"/>
          <w:sz w:val="32"/>
          <w:szCs w:val="32"/>
        </w:rPr>
        <w:t>新疆昌吉方汇水电设计有限公司于2002年根据昌吉回族自治州经济体制改革领导小组下发的：昌改【2002】14号文件精神完成改制，改制基准日为：2001</w:t>
      </w:r>
      <w:r>
        <w:rPr>
          <w:rFonts w:hint="eastAsia" w:ascii="仿宋_GB2312" w:hAnsi="宋体" w:eastAsia="仿宋_GB2312"/>
          <w:color w:val="000000" w:themeColor="text1"/>
          <w:sz w:val="32"/>
          <w:szCs w:val="32"/>
          <w:lang w:eastAsia="zh-CN"/>
        </w:rPr>
        <w:t>年</w:t>
      </w:r>
      <w:r>
        <w:rPr>
          <w:rFonts w:ascii="仿宋_GB2312" w:hAnsi="宋体" w:eastAsia="仿宋_GB2312"/>
          <w:color w:val="000000" w:themeColor="text1"/>
          <w:sz w:val="32"/>
          <w:szCs w:val="32"/>
        </w:rPr>
        <w:t>12月31日。我公司自改制以来一直认真按照文件规定执行，</w:t>
      </w:r>
      <w:r>
        <w:rPr>
          <w:rFonts w:hint="eastAsia" w:ascii="仿宋_GB2312" w:hAnsi="宋体" w:eastAsia="仿宋_GB2312"/>
          <w:color w:val="000000" w:themeColor="text1"/>
          <w:sz w:val="32"/>
          <w:szCs w:val="32"/>
        </w:rPr>
        <w:t>2016年将退休人员工资交付社保局发放</w:t>
      </w:r>
      <w:r>
        <w:rPr>
          <w:rFonts w:hint="eastAsia" w:ascii="仿宋_GB2312" w:hAnsi="宋体" w:eastAsia="仿宋_GB2312"/>
          <w:color w:val="000000" w:themeColor="text1"/>
          <w:sz w:val="32"/>
          <w:szCs w:val="32"/>
          <w:lang w:eastAsia="zh-CN"/>
        </w:rPr>
        <w:t>。我单位负责代缴原事业单位退休人员基本医疗保险、公务员医疗补助、代发退休人员活动费、采暖费等。</w:t>
      </w:r>
    </w:p>
    <w:p>
      <w:pPr>
        <w:widowControl/>
        <w:jc w:val="left"/>
        <w:outlineLvl w:val="1"/>
        <w:rPr>
          <w:rFonts w:hint="default" w:ascii="仿宋_GB2312" w:hAnsi="宋体" w:eastAsia="仿宋_GB2312"/>
          <w:kern w:val="0"/>
          <w:sz w:val="32"/>
          <w:szCs w:val="32"/>
          <w:lang w:val="en-US" w:eastAsia="zh-CN"/>
        </w:rPr>
        <w:sectPr>
          <w:footerReference r:id="rId3" w:type="default"/>
          <w:footerReference r:id="rId4" w:type="even"/>
          <w:pgSz w:w="11906" w:h="16838"/>
          <w:pgMar w:top="2098" w:right="1418" w:bottom="1928" w:left="1588" w:header="851" w:footer="992" w:gutter="0"/>
          <w:pgNumType w:fmt="numberInDash"/>
          <w:cols w:space="720" w:num="1"/>
          <w:docGrid w:linePitch="312" w:charSpace="0"/>
        </w:sectPr>
      </w:pP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第三部分  2019年部门预算情况说明</w:t>
      </w:r>
    </w:p>
    <w:p>
      <w:pPr>
        <w:widowControl/>
        <w:spacing w:line="580" w:lineRule="exact"/>
        <w:ind w:firstLine="640"/>
        <w:jc w:val="left"/>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关于新疆昌吉方汇水电设计有限公司2019年收支预算情况的总体说明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w:t>
      </w:r>
      <w:r>
        <w:rPr>
          <w:rFonts w:hint="eastAsia" w:ascii="仿宋_GB2312" w:hAnsi="宋体" w:eastAsia="仿宋_GB2312"/>
          <w:kern w:val="0"/>
          <w:sz w:val="32"/>
          <w:szCs w:val="32"/>
        </w:rPr>
        <w:t>新疆昌吉方汇水电设计有限公司</w:t>
      </w:r>
      <w:r>
        <w:rPr>
          <w:rFonts w:hint="eastAsia" w:ascii="仿宋_GB2312" w:hAnsi="宋体" w:eastAsia="仿宋_GB2312" w:cs="宋体"/>
          <w:kern w:val="0"/>
          <w:sz w:val="32"/>
          <w:szCs w:val="32"/>
        </w:rPr>
        <w:t>2019年所有收入和支出均纳入部门预算管理。收支总预算22.02万元。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收入预算包括：一般公共预算22.02万元。</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支出预算包括：一般公共服务支出22.02万元。</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二、关于新疆昌吉方汇水电设计有限公司2019年收入预算情况说明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新疆昌吉方汇水电设计有限公司</w:t>
      </w:r>
      <w:r>
        <w:rPr>
          <w:rFonts w:hint="eastAsia" w:ascii="仿宋_GB2312" w:hAnsi="宋体" w:eastAsia="仿宋_GB2312" w:cs="宋体"/>
          <w:kern w:val="0"/>
          <w:sz w:val="32"/>
          <w:szCs w:val="32"/>
        </w:rPr>
        <w:t>收入预算22.02万元，其中：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一般公共预算22.02万元，占100%，比上年增加2.02   万元，主要原因是退休人员工资增加，相应退休人员医疗保险缴费增加；    </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三、关于新疆昌吉方汇水电设计有限公司单位2019年支出预算情况说明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新疆昌吉方汇水电设计有限公司</w:t>
      </w:r>
      <w:r>
        <w:rPr>
          <w:rFonts w:hint="eastAsia" w:ascii="仿宋_GB2312" w:hAnsi="宋体" w:eastAsia="仿宋_GB2312" w:cs="宋体"/>
          <w:kern w:val="0"/>
          <w:sz w:val="32"/>
          <w:szCs w:val="32"/>
        </w:rPr>
        <w:t>单位2019年支出预算22.02万元，其中：</w:t>
      </w:r>
    </w:p>
    <w:p>
      <w:pPr>
        <w:widowControl/>
        <w:spacing w:line="580" w:lineRule="exact"/>
        <w:ind w:firstLine="640"/>
        <w:jc w:val="left"/>
        <w:rPr>
          <w:rFonts w:ascii="仿宋_GB2312" w:hAnsi="宋体" w:eastAsia="仿宋_GB2312" w:cs="宋体"/>
          <w:b/>
          <w:kern w:val="0"/>
          <w:sz w:val="32"/>
          <w:szCs w:val="32"/>
        </w:rPr>
      </w:pPr>
      <w:r>
        <w:rPr>
          <w:rFonts w:hint="eastAsia" w:ascii="仿宋_GB2312" w:hAnsi="宋体" w:eastAsia="仿宋_GB2312" w:cs="宋体"/>
          <w:kern w:val="0"/>
          <w:sz w:val="32"/>
          <w:szCs w:val="32"/>
        </w:rPr>
        <w:t>基本支出22.02万元，占100%，比上年增加2.02万元，主要原因是退休人员工资增加，相应退休人员医疗保险缴费增加。</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项目支出0万元。</w:t>
      </w:r>
    </w:p>
    <w:p>
      <w:pPr>
        <w:widowControl/>
        <w:spacing w:line="580" w:lineRule="exact"/>
        <w:ind w:firstLine="640"/>
        <w:jc w:val="left"/>
        <w:rPr>
          <w:rFonts w:ascii="黑体" w:hAnsi="黑体" w:eastAsia="黑体" w:cs="宋体"/>
          <w:bCs/>
          <w:kern w:val="0"/>
          <w:sz w:val="32"/>
          <w:szCs w:val="32"/>
          <w:highlight w:val="yellow"/>
        </w:rPr>
      </w:pPr>
      <w:r>
        <w:rPr>
          <w:rFonts w:hint="eastAsia" w:ascii="黑体" w:hAnsi="黑体" w:eastAsia="黑体" w:cs="宋体"/>
          <w:bCs/>
          <w:kern w:val="0"/>
          <w:sz w:val="32"/>
          <w:szCs w:val="32"/>
          <w:highlight w:val="yellow"/>
        </w:rPr>
        <w:t>四、关于新疆昌吉方汇水电设计有限公司2019年财政拨款收支预算情况的总体说明</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2019年财政拨款收支总预算22.02万元。</w:t>
      </w:r>
    </w:p>
    <w:p>
      <w:pPr>
        <w:spacing w:line="580" w:lineRule="exact"/>
        <w:ind w:firstLine="640"/>
        <w:rPr>
          <w:rFonts w:ascii="仿宋_GB2312" w:hAnsi="宋体" w:eastAsia="仿宋_GB2312" w:cs="宋体"/>
          <w:b/>
          <w:kern w:val="0"/>
          <w:sz w:val="32"/>
          <w:szCs w:val="32"/>
        </w:rPr>
      </w:pPr>
      <w:r>
        <w:rPr>
          <w:rFonts w:hint="eastAsia" w:ascii="仿宋_GB2312" w:hAnsi="宋体" w:eastAsia="仿宋_GB2312" w:cs="宋体"/>
          <w:kern w:val="0"/>
          <w:sz w:val="32"/>
          <w:szCs w:val="32"/>
        </w:rPr>
        <w:t>收入全部为一般公共预算拨款，无政府性基金预算拨款。</w:t>
      </w:r>
    </w:p>
    <w:p>
      <w:pPr>
        <w:spacing w:line="580" w:lineRule="exact"/>
        <w:ind w:firstLine="640"/>
        <w:rPr>
          <w:rFonts w:hint="eastAsia" w:ascii="仿宋_GB2312" w:hAnsi="宋体" w:eastAsia="仿宋_GB2312" w:cs="宋体"/>
          <w:kern w:val="0"/>
          <w:sz w:val="32"/>
          <w:szCs w:val="32"/>
          <w:highlight w:val="yellow"/>
        </w:rPr>
      </w:pPr>
      <w:r>
        <w:rPr>
          <w:rFonts w:hint="eastAsia" w:ascii="仿宋_GB2312" w:hAnsi="宋体" w:eastAsia="仿宋_GB2312" w:cs="宋体"/>
          <w:kern w:val="0"/>
          <w:sz w:val="32"/>
          <w:szCs w:val="32"/>
        </w:rPr>
        <w:t>支出预算包括：</w:t>
      </w:r>
      <w:r>
        <w:rPr>
          <w:rFonts w:hint="eastAsia" w:ascii="仿宋_GB2312" w:hAnsi="宋体" w:eastAsia="仿宋_GB2312" w:cs="宋体"/>
          <w:kern w:val="0"/>
          <w:sz w:val="32"/>
          <w:szCs w:val="32"/>
          <w:lang w:eastAsia="zh-CN"/>
        </w:rPr>
        <w:t>农林水支出</w:t>
      </w:r>
      <w:r>
        <w:rPr>
          <w:rFonts w:hint="eastAsia" w:ascii="仿宋_GB2312" w:hAnsi="宋体" w:eastAsia="仿宋_GB2312" w:cs="宋体"/>
          <w:kern w:val="0"/>
          <w:sz w:val="32"/>
          <w:szCs w:val="32"/>
          <w:lang w:val="en-US" w:eastAsia="zh-CN"/>
        </w:rPr>
        <w:t>22.02</w:t>
      </w:r>
      <w:r>
        <w:rPr>
          <w:rFonts w:hint="eastAsia" w:ascii="仿宋_GB2312" w:hAnsi="宋体" w:eastAsia="仿宋_GB2312" w:cs="宋体"/>
          <w:kern w:val="0"/>
          <w:sz w:val="32"/>
          <w:szCs w:val="32"/>
        </w:rPr>
        <w:t>万元，主要用于</w:t>
      </w:r>
      <w:r>
        <w:rPr>
          <w:rFonts w:hint="eastAsia" w:ascii="仿宋_GB2312" w:hAnsi="宋体" w:eastAsia="仿宋_GB2312" w:cs="宋体"/>
          <w:kern w:val="0"/>
          <w:sz w:val="32"/>
          <w:szCs w:val="32"/>
          <w:lang w:eastAsia="zh-CN"/>
        </w:rPr>
        <w:t>退休人员的</w:t>
      </w:r>
      <w:r>
        <w:rPr>
          <w:rFonts w:hint="eastAsia" w:ascii="仿宋_GB2312" w:hAnsi="宋体" w:eastAsia="仿宋_GB2312" w:cs="宋体"/>
          <w:kern w:val="0"/>
          <w:sz w:val="32"/>
          <w:szCs w:val="32"/>
        </w:rPr>
        <w:t>基本医疗保险缴费、公务员医疗补助缴费</w:t>
      </w:r>
      <w:r>
        <w:rPr>
          <w:rFonts w:hint="eastAsia" w:ascii="仿宋_GB2312" w:hAnsi="宋体" w:eastAsia="仿宋_GB2312" w:cs="宋体"/>
          <w:kern w:val="0"/>
          <w:sz w:val="32"/>
          <w:szCs w:val="32"/>
          <w:lang w:eastAsia="zh-CN"/>
        </w:rPr>
        <w:t>和</w:t>
      </w:r>
      <w:r>
        <w:rPr>
          <w:rFonts w:hint="eastAsia" w:ascii="仿宋_GB2312" w:hAnsi="宋体" w:eastAsia="仿宋_GB2312" w:cs="宋体"/>
          <w:kern w:val="0"/>
          <w:sz w:val="32"/>
          <w:szCs w:val="32"/>
        </w:rPr>
        <w:t>其他对个人和家庭的补助等。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五、关于新疆昌吉方汇水电设计有限公司2019年一般公共预算当年拨款情况说明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（一）一般公用预算当年拨款规模变化情况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新疆昌吉方汇水电设计有限公司</w:t>
      </w:r>
      <w:r>
        <w:rPr>
          <w:rFonts w:hint="eastAsia" w:ascii="仿宋_GB2312" w:hAnsi="宋体" w:eastAsia="仿宋_GB2312" w:cs="宋体"/>
          <w:kern w:val="0"/>
          <w:sz w:val="32"/>
          <w:szCs w:val="32"/>
        </w:rPr>
        <w:t xml:space="preserve">2019年一般公共预算拨款基本支出22.02万元，比上年执行数增加2.02万元，增长9.17%。主要原因是：退休人员工资增加，相应退休人员医疗保险缴费增加。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80" w:lineRule="exact"/>
        <w:ind w:firstLine="64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eastAsia="仿宋_GB2312"/>
          <w:color w:val="000000" w:themeColor="text1"/>
          <w:sz w:val="32"/>
          <w:szCs w:val="32"/>
        </w:rPr>
        <w:t>农林水支出</w:t>
      </w:r>
      <w:r>
        <w:rPr>
          <w:rFonts w:hint="eastAsia" w:ascii="仿宋_GB2312" w:eastAsia="仿宋_GB2312"/>
          <w:sz w:val="32"/>
          <w:szCs w:val="32"/>
        </w:rPr>
        <w:t>（类）22.02</w:t>
      </w:r>
      <w:r>
        <w:rPr>
          <w:rFonts w:hint="eastAsia" w:ascii="仿宋_GB2312" w:hAnsi="宋体" w:eastAsia="仿宋_GB2312" w:cs="宋体"/>
          <w:kern w:val="0"/>
          <w:sz w:val="32"/>
          <w:szCs w:val="32"/>
        </w:rPr>
        <w:t>万元，占100 %。</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w:t>
      </w:r>
      <w:r>
        <w:rPr>
          <w:rFonts w:hint="eastAsia" w:ascii="仿宋_GB2312" w:hAnsi="宋体" w:eastAsia="仿宋_GB2312" w:cs="宋体"/>
          <w:color w:val="000000" w:themeColor="text1"/>
          <w:kern w:val="0"/>
          <w:sz w:val="32"/>
          <w:szCs w:val="32"/>
        </w:rPr>
        <w:t>农林水</w:t>
      </w:r>
      <w:r>
        <w:rPr>
          <w:rFonts w:ascii="仿宋_GB2312" w:hAnsi="宋体" w:eastAsia="仿宋_GB2312" w:cs="宋体"/>
          <w:color w:val="000000" w:themeColor="text1"/>
          <w:kern w:val="0"/>
          <w:sz w:val="32"/>
          <w:szCs w:val="32"/>
        </w:rPr>
        <w:t>支出</w:t>
      </w:r>
      <w:r>
        <w:rPr>
          <w:rFonts w:ascii="仿宋_GB2312" w:hAnsi="宋体" w:eastAsia="仿宋_GB2312" w:cs="宋体"/>
          <w:color w:val="000000" w:themeColor="text1"/>
          <w:kern w:val="0"/>
          <w:sz w:val="32"/>
          <w:szCs w:val="32"/>
          <w:highlight w:val="yellow"/>
        </w:rPr>
        <w:t>（类）</w:t>
      </w:r>
      <w:r>
        <w:rPr>
          <w:rFonts w:hint="eastAsia" w:ascii="仿宋_GB2312" w:hAnsi="宋体" w:eastAsia="仿宋_GB2312" w:cs="宋体"/>
          <w:color w:val="000000" w:themeColor="text1"/>
          <w:kern w:val="0"/>
          <w:sz w:val="32"/>
          <w:szCs w:val="32"/>
        </w:rPr>
        <w:t>水利</w:t>
      </w:r>
      <w:r>
        <w:rPr>
          <w:rFonts w:ascii="仿宋_GB2312" w:hAnsi="宋体" w:eastAsia="仿宋_GB2312" w:cs="宋体"/>
          <w:color w:val="000000" w:themeColor="text1"/>
          <w:kern w:val="0"/>
          <w:sz w:val="32"/>
          <w:szCs w:val="32"/>
          <w:highlight w:val="yellow"/>
        </w:rPr>
        <w:t>（款）</w:t>
      </w:r>
      <w:r>
        <w:rPr>
          <w:rFonts w:hint="eastAsia" w:ascii="仿宋_GB2312" w:hAnsi="宋体" w:eastAsia="仿宋_GB2312" w:cs="宋体"/>
          <w:color w:val="000000" w:themeColor="text1"/>
          <w:kern w:val="0"/>
          <w:sz w:val="32"/>
          <w:szCs w:val="32"/>
        </w:rPr>
        <w:t>机关</w:t>
      </w:r>
      <w:r>
        <w:rPr>
          <w:rFonts w:ascii="仿宋_GB2312" w:hAnsi="宋体" w:eastAsia="仿宋_GB2312" w:cs="宋体"/>
          <w:color w:val="000000" w:themeColor="text1"/>
          <w:kern w:val="0"/>
          <w:sz w:val="32"/>
          <w:szCs w:val="32"/>
        </w:rPr>
        <w:t>服务</w:t>
      </w:r>
      <w:r>
        <w:rPr>
          <w:rFonts w:ascii="仿宋_GB2312" w:hAnsi="宋体" w:eastAsia="仿宋_GB2312" w:cs="宋体"/>
          <w:kern w:val="0"/>
          <w:sz w:val="32"/>
          <w:szCs w:val="32"/>
          <w:highlight w:val="yellow"/>
        </w:rPr>
        <w:t>（项）</w:t>
      </w:r>
      <w:r>
        <w:rPr>
          <w:rFonts w:ascii="仿宋_GB2312" w:hAnsi="宋体" w:eastAsia="仿宋_GB2312" w:cs="宋体"/>
          <w:kern w:val="0"/>
          <w:sz w:val="32"/>
          <w:szCs w:val="32"/>
        </w:rPr>
        <w:t>:</w:t>
      </w:r>
      <w:r>
        <w:rPr>
          <w:rFonts w:hint="eastAsia" w:ascii="仿宋_GB2312" w:hAnsi="宋体" w:eastAsia="仿宋_GB2312" w:cs="宋体"/>
          <w:kern w:val="0"/>
          <w:sz w:val="32"/>
          <w:szCs w:val="32"/>
        </w:rPr>
        <w:t>2019</w:t>
      </w:r>
      <w:r>
        <w:rPr>
          <w:rFonts w:ascii="仿宋_GB2312" w:hAnsi="宋体" w:eastAsia="仿宋_GB2312" w:cs="宋体"/>
          <w:kern w:val="0"/>
          <w:sz w:val="32"/>
          <w:szCs w:val="32"/>
        </w:rPr>
        <w:t>年预算数为</w:t>
      </w:r>
      <w:r>
        <w:rPr>
          <w:rFonts w:hint="eastAsia" w:ascii="仿宋_GB2312" w:hAnsi="宋体" w:eastAsia="仿宋_GB2312" w:cs="宋体"/>
          <w:kern w:val="0"/>
          <w:sz w:val="32"/>
          <w:szCs w:val="32"/>
        </w:rPr>
        <w:t>22.02</w:t>
      </w:r>
      <w:r>
        <w:rPr>
          <w:rFonts w:ascii="仿宋_GB2312" w:hAnsi="宋体" w:eastAsia="仿宋_GB2312" w:cs="宋体"/>
          <w:kern w:val="0"/>
          <w:sz w:val="32"/>
          <w:szCs w:val="32"/>
        </w:rPr>
        <w:t>万元，</w:t>
      </w:r>
      <w:r>
        <w:rPr>
          <w:rFonts w:hint="eastAsia" w:ascii="仿宋_GB2312" w:hAnsi="宋体" w:eastAsia="仿宋_GB2312" w:cs="宋体"/>
          <w:kern w:val="0"/>
          <w:sz w:val="32"/>
          <w:szCs w:val="32"/>
        </w:rPr>
        <w:t>比上年执行数增加2.02万元，增长9.17 %，主要原因是：退休人员工资增加，相应退休人员医疗保险缴费增加</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 xml:space="preserve">    </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六、关于新疆昌吉方汇水电设计有限公司2019年一般公共预算基本支出情况说明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新疆昌吉方汇水电设计有限公司</w:t>
      </w:r>
      <w:r>
        <w:rPr>
          <w:rFonts w:hint="eastAsia" w:ascii="仿宋_GB2312" w:hAnsi="宋体" w:eastAsia="仿宋_GB2312" w:cs="宋体"/>
          <w:kern w:val="0"/>
          <w:sz w:val="32"/>
          <w:szCs w:val="32"/>
        </w:rPr>
        <w:t>2019年一般公共预算基本支出22.02万元，其中：</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人员经费19.6万元，主要包括：职工基本医疗保险缴费、公务员医疗补助缴费、其他对个人和家庭的补助等。</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公用经费2.42万元，其他商品和服务支出等。</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七、关于新疆昌吉方汇水电设计有限公司2019年项目支出情况说明</w:t>
      </w:r>
    </w:p>
    <w:p>
      <w:pPr>
        <w:widowControl/>
        <w:spacing w:line="580" w:lineRule="exact"/>
        <w:ind w:firstLine="640"/>
        <w:jc w:val="left"/>
        <w:rPr>
          <w:rFonts w:hint="eastAsia" w:ascii="仿宋_GB2312" w:hAnsi="黑体" w:eastAsia="仿宋_GB2312"/>
          <w:sz w:val="32"/>
          <w:szCs w:val="32"/>
          <w:lang w:val="en-US" w:eastAsia="zh-CN"/>
        </w:rPr>
      </w:pPr>
      <w:r>
        <w:rPr>
          <w:rFonts w:hint="eastAsia" w:ascii="仿宋_GB2312" w:hAnsi="黑体" w:eastAsia="仿宋_GB2312"/>
          <w:sz w:val="32"/>
          <w:szCs w:val="32"/>
        </w:rPr>
        <w:t>新疆昌吉方汇水电设计有限公司无项目支出</w:t>
      </w:r>
      <w:r>
        <w:rPr>
          <w:rFonts w:hint="eastAsia" w:ascii="仿宋_GB2312" w:hAnsi="黑体" w:eastAsia="仿宋_GB2312"/>
          <w:sz w:val="32"/>
          <w:szCs w:val="32"/>
          <w:lang w:eastAsia="zh-CN"/>
        </w:rPr>
        <w:t>。</w:t>
      </w:r>
    </w:p>
    <w:p>
      <w:pPr>
        <w:widowControl/>
        <w:spacing w:line="580" w:lineRule="exact"/>
        <w:ind w:firstLine="642"/>
        <w:jc w:val="left"/>
        <w:rPr>
          <w:rFonts w:ascii="黑体" w:hAnsi="宋体" w:eastAsia="黑体" w:cs="宋体"/>
          <w:kern w:val="0"/>
          <w:sz w:val="32"/>
          <w:szCs w:val="32"/>
        </w:rPr>
      </w:pPr>
      <w:r>
        <w:rPr>
          <w:rFonts w:hint="eastAsia" w:ascii="黑体" w:hAnsi="宋体" w:eastAsia="黑体" w:cs="宋体"/>
          <w:kern w:val="0"/>
          <w:sz w:val="32"/>
          <w:szCs w:val="32"/>
        </w:rPr>
        <w:t>八、关于新疆昌吉方汇水电设计有限公司2019年一般公共预算“三公”经费预算情况说明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新疆昌吉方汇水电设计有限公司</w:t>
      </w:r>
      <w:r>
        <w:rPr>
          <w:rFonts w:hint="eastAsia" w:ascii="仿宋_GB2312" w:hAnsi="宋体" w:eastAsia="仿宋_GB2312" w:cs="宋体"/>
          <w:kern w:val="0"/>
          <w:sz w:val="32"/>
          <w:szCs w:val="32"/>
        </w:rPr>
        <w:t>2019年“三公”经费财政拨款预算数为0万元，其中：因公出国（境）费 0 万元，公务用车购置 0万元，公务用车运行费0万元，公务接待费 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2019年“三公”经费财政拨款预算比上年减少0万元，其中：因公出国（境）费增加减少0万元，主要原因是执行中央八项规定，无出国出境情况 ；公务用车购置费为0万元，未安排预算。公务用车运行费减少0万元，主要原因是无车辆运行费用支出；公务接待费增加（减少）0万元，主要原因是</w:t>
      </w:r>
      <w:r>
        <w:rPr>
          <w:rFonts w:hint="eastAsia" w:ascii="仿宋_GB2312" w:hAnsi="宋体" w:eastAsia="仿宋_GB2312"/>
          <w:sz w:val="32"/>
          <w:szCs w:val="32"/>
        </w:rPr>
        <w:t>严格执行中央八项规定和自治区十条规定，差旅费相关规定，未安排公务接待</w:t>
      </w:r>
      <w:r>
        <w:rPr>
          <w:rFonts w:hint="eastAsia" w:ascii="仿宋_GB2312" w:hAnsi="宋体" w:eastAsia="仿宋_GB2312" w:cs="宋体"/>
          <w:kern w:val="0"/>
          <w:sz w:val="32"/>
          <w:szCs w:val="32"/>
        </w:rPr>
        <w:t>。</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九、关于新疆昌吉方汇水电设计有限公司2019年政府性基金预算拨款情况说明</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kern w:val="0"/>
          <w:sz w:val="32"/>
          <w:szCs w:val="32"/>
        </w:rPr>
        <w:t>新疆昌吉方汇水电设计有限公司</w:t>
      </w:r>
      <w:r>
        <w:rPr>
          <w:rFonts w:hint="eastAsia" w:ascii="仿宋_GB2312" w:hAnsi="宋体" w:eastAsia="仿宋_GB2312" w:cs="宋体"/>
          <w:kern w:val="0"/>
          <w:sz w:val="32"/>
          <w:szCs w:val="32"/>
        </w:rPr>
        <w:t>2019年没有使用政府性基金预算拨款安排的支出，政府性基金预算支出情况表为空表。</w:t>
      </w:r>
    </w:p>
    <w:p>
      <w:pPr>
        <w:widowControl/>
        <w:spacing w:line="58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widowControl/>
        <w:spacing w:line="58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本级及下属</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家行政单位、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家参公管理事业单位和</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家事业单位的机关运行经费财政拨款预算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万元，比上年预算增加（减少）</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 xml:space="preserve">    万元，增长（下降）</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%。主要原因是</w:t>
      </w:r>
      <w:r>
        <w:rPr>
          <w:rFonts w:hint="eastAsia" w:ascii="仿宋_GB2312" w:hAnsi="宋体" w:eastAsia="仿宋_GB2312" w:cs="宋体"/>
          <w:kern w:val="0"/>
          <w:sz w:val="32"/>
          <w:szCs w:val="32"/>
          <w:lang w:eastAsia="zh-CN"/>
        </w:rPr>
        <w:t>我单位只负责代缴</w:t>
      </w:r>
      <w:r>
        <w:rPr>
          <w:rFonts w:hint="eastAsia" w:ascii="仿宋_GB2312" w:hAnsi="宋体" w:eastAsia="仿宋_GB2312" w:cs="宋体"/>
          <w:kern w:val="0"/>
          <w:sz w:val="32"/>
          <w:szCs w:val="32"/>
          <w:lang w:val="en-US" w:eastAsia="zh-CN"/>
        </w:rPr>
        <w:t>退休人员基本医疗和公务员医疗补助</w:t>
      </w:r>
      <w:r>
        <w:rPr>
          <w:rFonts w:hint="eastAsia" w:ascii="仿宋_GB2312" w:hAnsi="宋体" w:eastAsia="仿宋_GB2312" w:cs="宋体"/>
          <w:kern w:val="0"/>
          <w:sz w:val="32"/>
          <w:szCs w:val="32"/>
          <w:lang w:eastAsia="zh-CN"/>
        </w:rPr>
        <w:t>等</w:t>
      </w:r>
      <w:r>
        <w:rPr>
          <w:rFonts w:hint="eastAsia" w:ascii="仿宋_GB2312" w:hAnsi="宋体" w:eastAsia="仿宋_GB2312" w:cs="宋体"/>
          <w:kern w:val="0"/>
          <w:sz w:val="32"/>
          <w:szCs w:val="32"/>
        </w:rPr>
        <w:t>。</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w:t>
      </w:r>
      <w:r>
        <w:rPr>
          <w:rFonts w:hint="eastAsia" w:ascii="仿宋_GB2312" w:hAnsi="宋体" w:eastAsia="仿宋_GB2312" w:cs="宋体"/>
          <w:kern w:val="0"/>
          <w:sz w:val="32"/>
          <w:szCs w:val="32"/>
          <w:lang w:eastAsia="zh-CN"/>
        </w:rPr>
        <w:t>新疆昌吉方汇水电设计有限公司</w:t>
      </w:r>
      <w:r>
        <w:rPr>
          <w:rFonts w:hint="eastAsia" w:ascii="仿宋_GB2312" w:hAnsi="宋体" w:eastAsia="仿宋_GB2312" w:cs="宋体"/>
          <w:kern w:val="0"/>
          <w:sz w:val="32"/>
          <w:szCs w:val="32"/>
        </w:rPr>
        <w:t>政府采购预算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万元，其中：政府采购货物预算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万元，政府采购工程预算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万元，政府采购服务预算</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仿宋_GB2312" w:eastAsia="仿宋_GB2312"/>
          <w:sz w:val="32"/>
          <w:lang w:val="en-US" w:eastAsia="zh-CN"/>
        </w:rPr>
        <w:t>2019</w:t>
      </w:r>
      <w:r>
        <w:rPr>
          <w:rFonts w:hint="eastAsia" w:ascii="仿宋_GB2312" w:hAnsi="仿宋_GB2312" w:eastAsia="仿宋_GB2312"/>
          <w:sz w:val="32"/>
        </w:rPr>
        <w:t>年度本部门面向中小企业预留政府采购项目预算金额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万元，其中：面向小微企业预留政府采购项目预算金额</w:t>
      </w:r>
      <w:r>
        <w:rPr>
          <w:rFonts w:hint="eastAsia" w:ascii="仿宋_GB2312" w:hAnsi="仿宋_GB2312" w:eastAsia="仿宋_GB2312"/>
          <w:sz w:val="32"/>
          <w:lang w:val="en-US" w:eastAsia="zh-CN"/>
        </w:rPr>
        <w:t>0</w:t>
      </w:r>
      <w:r>
        <w:rPr>
          <w:rFonts w:hint="eastAsia" w:ascii="仿宋_GB2312" w:hAnsi="仿宋_GB2312" w:eastAsia="仿宋_GB2312"/>
          <w:sz w:val="32"/>
        </w:rPr>
        <w:t>万元。</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highlight w:val="yellow"/>
        </w:rPr>
        <w:t>截至20</w:t>
      </w:r>
      <w:r>
        <w:rPr>
          <w:rFonts w:hint="eastAsia" w:ascii="仿宋_GB2312" w:hAnsi="宋体" w:eastAsia="仿宋_GB2312" w:cs="宋体"/>
          <w:kern w:val="0"/>
          <w:sz w:val="32"/>
          <w:szCs w:val="32"/>
          <w:highlight w:val="yellow"/>
          <w:lang w:val="en-US" w:eastAsia="zh-CN"/>
        </w:rPr>
        <w:t>18</w:t>
      </w:r>
      <w:r>
        <w:rPr>
          <w:rFonts w:hint="eastAsia" w:ascii="仿宋_GB2312" w:hAnsi="宋体" w:eastAsia="仿宋_GB2312" w:cs="宋体"/>
          <w:kern w:val="0"/>
          <w:sz w:val="32"/>
          <w:szCs w:val="32"/>
        </w:rPr>
        <w:t>年底，</w:t>
      </w:r>
      <w:r>
        <w:rPr>
          <w:rFonts w:hint="eastAsia" w:ascii="仿宋_GB2312" w:hAnsi="宋体" w:eastAsia="仿宋_GB2312"/>
          <w:kern w:val="0"/>
          <w:sz w:val="32"/>
          <w:szCs w:val="32"/>
        </w:rPr>
        <w:t>新疆昌吉方汇水电设计有限公司</w:t>
      </w:r>
      <w:r>
        <w:rPr>
          <w:rFonts w:hint="eastAsia" w:ascii="仿宋_GB2312" w:hAnsi="宋体" w:eastAsia="仿宋_GB2312" w:cs="宋体"/>
          <w:kern w:val="0"/>
          <w:sz w:val="32"/>
          <w:szCs w:val="32"/>
        </w:rPr>
        <w:t>占用使用国有资产总体情况为</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1.房屋0平方米，价值0万元。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2.车辆0 辆，价值0万元；其中：一般公务用车0辆，价值0万元；执法执勤用车0辆，价值0万元；其他车辆0辆，价值0万元。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4.其他资产价值0万元。</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单位价值50万元以上大型设备0台</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套）</w:t>
      </w:r>
      <w:r>
        <w:rPr>
          <w:rFonts w:hint="eastAsia" w:ascii="仿宋_GB2312" w:hAnsi="宋体" w:eastAsia="仿宋_GB2312" w:cs="宋体"/>
          <w:kern w:val="0"/>
          <w:sz w:val="32"/>
          <w:szCs w:val="32"/>
          <w:lang w:eastAsia="zh-CN"/>
        </w:rPr>
        <w:t>，</w:t>
      </w:r>
      <w:r>
        <w:rPr>
          <w:rFonts w:hint="eastAsia" w:ascii="仿宋_GB2312" w:hAnsi="宋体" w:eastAsia="仿宋_GB2312" w:cs="宋体"/>
          <w:kern w:val="0"/>
          <w:sz w:val="32"/>
          <w:szCs w:val="32"/>
        </w:rPr>
        <w:t>单位价值100万元以上大型设备0台（套）。</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rPr>
        <w:t>2019年部门预算未安排购置车辆经费（或安排购置车辆经费0万元），未安排购置50万元以上大型设备，单位价值100万元以上大型设备0台（套）。</w:t>
      </w:r>
    </w:p>
    <w:p>
      <w:pPr>
        <w:widowControl/>
        <w:spacing w:line="580" w:lineRule="exact"/>
        <w:ind w:firstLine="642"/>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widowControl/>
        <w:spacing w:line="580" w:lineRule="exact"/>
        <w:ind w:firstLine="640"/>
        <w:jc w:val="left"/>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2019</w:t>
      </w:r>
      <w:r>
        <w:rPr>
          <w:rFonts w:hint="eastAsia" w:ascii="仿宋_GB2312" w:hAnsi="宋体" w:eastAsia="仿宋_GB2312" w:cs="宋体"/>
          <w:kern w:val="0"/>
          <w:sz w:val="32"/>
          <w:szCs w:val="32"/>
        </w:rPr>
        <w:t>年度，本年度实行绩效管理的项目</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个，涉及预算金额</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万元。具体情况见下表（按项目分别填报）：</w:t>
      </w:r>
    </w:p>
    <w:p>
      <w:pPr>
        <w:widowControl/>
        <w:spacing w:line="600" w:lineRule="exact"/>
        <w:rPr>
          <w:rFonts w:ascii="仿宋_GB2312" w:hAnsi="宋体" w:eastAsia="仿宋_GB2312" w:cs="宋体"/>
          <w:kern w:val="0"/>
          <w:sz w:val="32"/>
          <w:szCs w:val="32"/>
        </w:rPr>
        <w:sectPr>
          <w:pgSz w:w="11906" w:h="16838"/>
          <w:pgMar w:top="1440" w:right="1800" w:bottom="1440" w:left="1800" w:header="851" w:footer="992" w:gutter="0"/>
          <w:cols w:space="425" w:num="1"/>
          <w:docGrid w:type="lines" w:linePitch="312" w:charSpace="0"/>
        </w:sectPr>
      </w:pPr>
    </w:p>
    <w:tbl>
      <w:tblPr>
        <w:tblStyle w:val="7"/>
        <w:tblW w:w="13973" w:type="dxa"/>
        <w:tblInd w:w="93" w:type="dxa"/>
        <w:tblLayout w:type="fixed"/>
        <w:tblCellMar>
          <w:top w:w="0" w:type="dxa"/>
          <w:left w:w="108" w:type="dxa"/>
          <w:bottom w:w="0" w:type="dxa"/>
          <w:right w:w="108" w:type="dxa"/>
        </w:tblCellMar>
      </w:tblPr>
      <w:tblGrid>
        <w:gridCol w:w="2195"/>
        <w:gridCol w:w="1857"/>
        <w:gridCol w:w="1664"/>
        <w:gridCol w:w="500"/>
        <w:gridCol w:w="1164"/>
        <w:gridCol w:w="323"/>
        <w:gridCol w:w="323"/>
        <w:gridCol w:w="1925"/>
        <w:gridCol w:w="249"/>
        <w:gridCol w:w="1132"/>
        <w:gridCol w:w="2143"/>
        <w:gridCol w:w="249"/>
        <w:gridCol w:w="249"/>
      </w:tblGrid>
      <w:tr>
        <w:tblPrEx>
          <w:tblLayout w:type="fixed"/>
          <w:tblCellMar>
            <w:top w:w="0" w:type="dxa"/>
            <w:left w:w="108" w:type="dxa"/>
            <w:bottom w:w="0" w:type="dxa"/>
            <w:right w:w="108" w:type="dxa"/>
          </w:tblCellMar>
        </w:tblPrEx>
        <w:trPr>
          <w:trHeight w:val="406" w:hRule="atLeast"/>
        </w:trPr>
        <w:tc>
          <w:tcPr>
            <w:tcW w:w="13973" w:type="dxa"/>
            <w:gridSpan w:val="13"/>
            <w:tcBorders>
              <w:top w:val="nil"/>
              <w:left w:val="nil"/>
              <w:bottom w:val="nil"/>
              <w:right w:val="nil"/>
            </w:tcBorders>
            <w:shd w:val="clear" w:color="auto" w:fill="auto"/>
            <w:noWrap/>
            <w:vAlign w:val="bottom"/>
          </w:tcPr>
          <w:p>
            <w:pPr>
              <w:widowControl/>
              <w:jc w:val="center"/>
              <w:outlineLvl w:val="1"/>
              <w:rPr>
                <w:rFonts w:ascii="宋体" w:hAnsi="宋体" w:cs="宋体"/>
                <w:b/>
                <w:bCs/>
                <w:kern w:val="0"/>
                <w:sz w:val="32"/>
                <w:szCs w:val="32"/>
              </w:rPr>
            </w:pPr>
            <w:r>
              <w:rPr>
                <w:rFonts w:hint="eastAsia" w:ascii="仿宋_GB2312" w:hAnsi="宋体" w:eastAsia="仿宋_GB2312"/>
                <w:b/>
                <w:kern w:val="0"/>
                <w:sz w:val="32"/>
                <w:szCs w:val="32"/>
              </w:rPr>
              <w:t>项  目  支  出  绩  效  目  标  表</w:t>
            </w:r>
          </w:p>
        </w:tc>
      </w:tr>
      <w:tr>
        <w:tblPrEx>
          <w:tblLayout w:type="fixed"/>
          <w:tblCellMar>
            <w:top w:w="0" w:type="dxa"/>
            <w:left w:w="108" w:type="dxa"/>
            <w:bottom w:w="0" w:type="dxa"/>
            <w:right w:w="108" w:type="dxa"/>
          </w:tblCellMar>
        </w:tblPrEx>
        <w:trPr>
          <w:trHeight w:val="271" w:hRule="atLeast"/>
        </w:trPr>
        <w:tc>
          <w:tcPr>
            <w:tcW w:w="219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857"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664"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3"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1925"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3275" w:type="dxa"/>
            <w:gridSpan w:val="2"/>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c>
          <w:tcPr>
            <w:tcW w:w="249" w:type="dxa"/>
            <w:tcBorders>
              <w:top w:val="nil"/>
              <w:left w:val="nil"/>
              <w:bottom w:val="nil"/>
              <w:right w:val="nil"/>
            </w:tcBorders>
            <w:shd w:val="clear" w:color="auto" w:fill="auto"/>
            <w:noWrap/>
            <w:vAlign w:val="bottom"/>
          </w:tcPr>
          <w:p>
            <w:pPr>
              <w:widowControl/>
              <w:jc w:val="left"/>
              <w:rPr>
                <w:rFonts w:ascii="宋体" w:hAnsi="宋体" w:cs="宋体"/>
                <w:color w:val="000000"/>
                <w:kern w:val="0"/>
                <w:sz w:val="22"/>
              </w:rPr>
            </w:pPr>
          </w:p>
        </w:tc>
      </w:tr>
      <w:tr>
        <w:tblPrEx>
          <w:tblLayout w:type="fixed"/>
          <w:tblCellMar>
            <w:top w:w="0" w:type="dxa"/>
            <w:left w:w="108" w:type="dxa"/>
            <w:bottom w:w="0" w:type="dxa"/>
            <w:right w:w="108" w:type="dxa"/>
          </w:tblCellMar>
        </w:tblPrEx>
        <w:trPr>
          <w:trHeight w:val="271" w:hRule="atLeast"/>
        </w:trPr>
        <w:tc>
          <w:tcPr>
            <w:tcW w:w="2195" w:type="dxa"/>
            <w:tcBorders>
              <w:top w:val="single" w:color="auto" w:sz="4" w:space="0"/>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预算单位</w:t>
            </w:r>
          </w:p>
        </w:tc>
        <w:tc>
          <w:tcPr>
            <w:tcW w:w="5831" w:type="dxa"/>
            <w:gridSpan w:val="6"/>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新疆昌吉方汇水电设计有限公司</w:t>
            </w:r>
          </w:p>
        </w:tc>
        <w:tc>
          <w:tcPr>
            <w:tcW w:w="1925"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项目名称</w:t>
            </w:r>
          </w:p>
        </w:tc>
        <w:tc>
          <w:tcPr>
            <w:tcW w:w="4022" w:type="dxa"/>
            <w:gridSpan w:val="5"/>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ascii="宋体" w:hAnsi="宋体" w:cs="宋体"/>
                <w:kern w:val="0"/>
                <w:sz w:val="18"/>
                <w:szCs w:val="18"/>
              </w:rPr>
              <w:t>无</w:t>
            </w:r>
          </w:p>
        </w:tc>
      </w:tr>
      <w:tr>
        <w:tblPrEx>
          <w:tblLayout w:type="fixed"/>
          <w:tblCellMar>
            <w:top w:w="0" w:type="dxa"/>
            <w:left w:w="108" w:type="dxa"/>
            <w:bottom w:w="0" w:type="dxa"/>
            <w:right w:w="108" w:type="dxa"/>
          </w:tblCellMar>
        </w:tblPrEx>
        <w:trPr>
          <w:trHeight w:val="451" w:hRule="atLeast"/>
        </w:trPr>
        <w:tc>
          <w:tcPr>
            <w:tcW w:w="2195" w:type="dxa"/>
            <w:tcBorders>
              <w:top w:val="nil"/>
              <w:left w:val="single" w:color="auto" w:sz="4" w:space="0"/>
              <w:bottom w:val="single" w:color="auto" w:sz="4" w:space="0"/>
              <w:right w:val="single" w:color="auto"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项目资金（万元）</w:t>
            </w:r>
          </w:p>
        </w:tc>
        <w:tc>
          <w:tcPr>
            <w:tcW w:w="1857" w:type="dxa"/>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年度资金总额：</w:t>
            </w:r>
          </w:p>
        </w:tc>
        <w:tc>
          <w:tcPr>
            <w:tcW w:w="2164" w:type="dxa"/>
            <w:gridSpan w:val="2"/>
            <w:tcBorders>
              <w:top w:val="nil"/>
              <w:left w:val="nil"/>
              <w:bottom w:val="single" w:color="auto" w:sz="4" w:space="0"/>
              <w:right w:val="single" w:color="auto" w:sz="4" w:space="0"/>
            </w:tcBorders>
            <w:shd w:val="clear" w:color="auto" w:fill="auto"/>
            <w:vAlign w:val="center"/>
          </w:tcPr>
          <w:p>
            <w:pPr>
              <w:widowControl/>
              <w:jc w:val="center"/>
              <w:rPr>
                <w:rFonts w:hint="eastAsia" w:ascii="宋体" w:hAnsi="宋体" w:eastAsia="宋体" w:cs="宋体"/>
                <w:kern w:val="0"/>
                <w:sz w:val="18"/>
                <w:szCs w:val="18"/>
                <w:lang w:val="en-US" w:eastAsia="zh-CN"/>
              </w:rPr>
            </w:pPr>
            <w:r>
              <w:rPr>
                <w:rFonts w:hint="eastAsia" w:ascii="宋体" w:hAnsi="宋体" w:cs="宋体"/>
                <w:kern w:val="0"/>
                <w:sz w:val="18"/>
                <w:szCs w:val="18"/>
              </w:rPr>
              <w:t>　</w:t>
            </w:r>
            <w:r>
              <w:rPr>
                <w:rFonts w:hint="eastAsia" w:ascii="宋体" w:hAnsi="宋体" w:cs="宋体"/>
                <w:kern w:val="0"/>
                <w:sz w:val="18"/>
                <w:szCs w:val="18"/>
                <w:lang w:val="en-US" w:eastAsia="zh-CN"/>
              </w:rPr>
              <w:t>0</w:t>
            </w:r>
          </w:p>
        </w:tc>
        <w:tc>
          <w:tcPr>
            <w:tcW w:w="1810"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其中：财政拨款</w:t>
            </w:r>
          </w:p>
        </w:tc>
        <w:tc>
          <w:tcPr>
            <w:tcW w:w="1925" w:type="dxa"/>
            <w:tcBorders>
              <w:top w:val="nil"/>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1381" w:type="dxa"/>
            <w:gridSpan w:val="2"/>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其他资金</w:t>
            </w:r>
          </w:p>
        </w:tc>
        <w:tc>
          <w:tcPr>
            <w:tcW w:w="2641" w:type="dxa"/>
            <w:gridSpan w:val="3"/>
            <w:tcBorders>
              <w:top w:val="single" w:color="auto" w:sz="4" w:space="0"/>
              <w:left w:val="nil"/>
              <w:bottom w:val="single" w:color="auto" w:sz="4" w:space="0"/>
              <w:right w:val="single" w:color="auto"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lang w:val="en-US" w:eastAsia="zh-CN"/>
              </w:rPr>
              <w:t>0</w:t>
            </w: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40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项目总体目标</w:t>
            </w:r>
          </w:p>
        </w:tc>
        <w:tc>
          <w:tcPr>
            <w:tcW w:w="11778" w:type="dxa"/>
            <w:gridSpan w:val="12"/>
            <w:tcBorders>
              <w:top w:val="nil"/>
              <w:left w:val="nil"/>
              <w:bottom w:val="single" w:color="000000" w:sz="4" w:space="0"/>
              <w:right w:val="single" w:color="000000" w:sz="4" w:space="0"/>
            </w:tcBorders>
            <w:shd w:val="clear" w:color="auto" w:fill="auto"/>
          </w:tcPr>
          <w:p>
            <w:pPr>
              <w:widowControl/>
              <w:jc w:val="left"/>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一级指标</w:t>
            </w:r>
          </w:p>
        </w:tc>
        <w:tc>
          <w:tcPr>
            <w:tcW w:w="1857" w:type="dxa"/>
            <w:tcBorders>
              <w:top w:val="nil"/>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二级指标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三级指标</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b/>
                <w:bCs/>
                <w:kern w:val="0"/>
                <w:sz w:val="18"/>
                <w:szCs w:val="18"/>
              </w:rPr>
            </w:pPr>
            <w:r>
              <w:rPr>
                <w:rFonts w:hint="eastAsia" w:ascii="宋体" w:hAnsi="宋体" w:cs="宋体"/>
                <w:b/>
                <w:bCs/>
                <w:kern w:val="0"/>
                <w:sz w:val="18"/>
                <w:szCs w:val="18"/>
              </w:rPr>
              <w:t>指标值（包含数字及文字描述）</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项目完成指标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成本指标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时效指标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数量指标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质量指标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项目效益指标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经济效益指标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可持续影响指标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社会效益指标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生态效益指标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83"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1857" w:type="dxa"/>
            <w:vMerge w:val="restart"/>
            <w:tcBorders>
              <w:top w:val="nil"/>
              <w:left w:val="single" w:color="000000" w:sz="4" w:space="0"/>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满意度指标</w:t>
            </w: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r>
        <w:tblPrEx>
          <w:tblLayout w:type="fixed"/>
          <w:tblCellMar>
            <w:top w:w="0" w:type="dxa"/>
            <w:left w:w="108" w:type="dxa"/>
            <w:bottom w:w="0" w:type="dxa"/>
            <w:right w:w="108" w:type="dxa"/>
          </w:tblCellMar>
        </w:tblPrEx>
        <w:trPr>
          <w:trHeight w:val="271" w:hRule="atLeast"/>
        </w:trPr>
        <w:tc>
          <w:tcPr>
            <w:tcW w:w="2195"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1857" w:type="dxa"/>
            <w:vMerge w:val="continue"/>
            <w:tcBorders>
              <w:top w:val="nil"/>
              <w:left w:val="single" w:color="000000" w:sz="4" w:space="0"/>
              <w:bottom w:val="single" w:color="000000" w:sz="4" w:space="0"/>
              <w:right w:val="single" w:color="000000" w:sz="4" w:space="0"/>
            </w:tcBorders>
            <w:vAlign w:val="center"/>
          </w:tcPr>
          <w:p>
            <w:pPr>
              <w:widowControl/>
              <w:jc w:val="left"/>
              <w:rPr>
                <w:rFonts w:ascii="宋体" w:hAnsi="宋体" w:cs="宋体"/>
                <w:kern w:val="0"/>
                <w:sz w:val="18"/>
                <w:szCs w:val="18"/>
              </w:rPr>
            </w:pPr>
          </w:p>
        </w:tc>
        <w:tc>
          <w:tcPr>
            <w:tcW w:w="6148" w:type="dxa"/>
            <w:gridSpan w:val="7"/>
            <w:tcBorders>
              <w:top w:val="single" w:color="000000" w:sz="4" w:space="0"/>
              <w:left w:val="nil"/>
              <w:bottom w:val="single" w:color="000000" w:sz="4" w:space="0"/>
              <w:right w:val="single" w:color="000000" w:sz="4" w:space="0"/>
            </w:tcBorders>
            <w:shd w:val="clear" w:color="auto" w:fill="auto"/>
            <w:vAlign w:val="center"/>
          </w:tcPr>
          <w:p>
            <w:pPr>
              <w:widowControl/>
              <w:jc w:val="left"/>
              <w:rPr>
                <w:rFonts w:ascii="宋体" w:hAnsi="宋体" w:cs="宋体"/>
                <w:kern w:val="0"/>
                <w:sz w:val="18"/>
                <w:szCs w:val="18"/>
              </w:rPr>
            </w:pPr>
            <w:r>
              <w:rPr>
                <w:rFonts w:hint="eastAsia" w:ascii="宋体" w:hAnsi="宋体" w:cs="宋体"/>
                <w:kern w:val="0"/>
                <w:sz w:val="18"/>
                <w:szCs w:val="18"/>
              </w:rPr>
              <w:t>　</w:t>
            </w:r>
          </w:p>
        </w:tc>
        <w:tc>
          <w:tcPr>
            <w:tcW w:w="3773" w:type="dxa"/>
            <w:gridSpan w:val="4"/>
            <w:tcBorders>
              <w:top w:val="single" w:color="000000" w:sz="4" w:space="0"/>
              <w:left w:val="nil"/>
              <w:bottom w:val="single" w:color="000000" w:sz="4" w:space="0"/>
              <w:right w:val="single" w:color="000000" w:sz="4" w:space="0"/>
            </w:tcBorders>
            <w:shd w:val="clear" w:color="auto" w:fill="auto"/>
            <w:vAlign w:val="center"/>
          </w:tcPr>
          <w:p>
            <w:pPr>
              <w:widowControl/>
              <w:jc w:val="center"/>
              <w:rPr>
                <w:rFonts w:ascii="宋体" w:hAnsi="宋体" w:cs="宋体"/>
                <w:kern w:val="0"/>
                <w:sz w:val="18"/>
                <w:szCs w:val="18"/>
              </w:rPr>
            </w:pPr>
            <w:r>
              <w:rPr>
                <w:rFonts w:hint="eastAsia" w:ascii="宋体" w:hAnsi="宋体" w:cs="宋体"/>
                <w:kern w:val="0"/>
                <w:sz w:val="18"/>
                <w:szCs w:val="18"/>
              </w:rPr>
              <w:t>　</w:t>
            </w:r>
          </w:p>
        </w:tc>
      </w:tr>
    </w:tbl>
    <w:p>
      <w:pPr>
        <w:widowControl/>
        <w:spacing w:line="560" w:lineRule="exact"/>
        <w:ind w:firstLine="630" w:firstLineChars="196"/>
        <w:jc w:val="left"/>
        <w:rPr>
          <w:rFonts w:ascii="楷体_GB2312" w:hAnsi="宋体" w:eastAsia="楷体_GB2312" w:cs="宋体"/>
          <w:b/>
          <w:kern w:val="0"/>
          <w:sz w:val="32"/>
          <w:szCs w:val="32"/>
        </w:rPr>
        <w:sectPr>
          <w:pgSz w:w="16838" w:h="11906" w:orient="landscape"/>
          <w:pgMar w:top="1800" w:right="1440" w:bottom="1800" w:left="1440" w:header="851" w:footer="992" w:gutter="0"/>
          <w:cols w:space="425" w:num="1"/>
          <w:docGrid w:type="lines" w:linePitch="312" w:charSpace="0"/>
        </w:sectPr>
      </w:pPr>
    </w:p>
    <w:p>
      <w:pPr>
        <w:widowControl/>
        <w:spacing w:line="560" w:lineRule="exact"/>
        <w:ind w:firstLine="630" w:firstLineChars="196"/>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60" w:lineRule="exact"/>
        <w:ind w:firstLine="640" w:firstLineChars="200"/>
        <w:jc w:val="left"/>
        <w:rPr>
          <w:rFonts w:ascii="仿宋_GB2312" w:hAnsi="宋体" w:eastAsia="仿宋_GB2312" w:cs="宋体"/>
          <w:kern w:val="0"/>
          <w:sz w:val="32"/>
          <w:szCs w:val="32"/>
        </w:rPr>
      </w:pPr>
      <w:r>
        <w:rPr>
          <w:rFonts w:ascii="仿宋_GB2312" w:hAnsi="宋体" w:eastAsia="仿宋_GB2312" w:cs="宋体"/>
          <w:kern w:val="0"/>
          <w:sz w:val="32"/>
          <w:szCs w:val="32"/>
        </w:rPr>
        <w:t>无</w:t>
      </w:r>
      <w:r>
        <w:rPr>
          <w:rFonts w:hint="eastAsia" w:ascii="仿宋_GB2312" w:hAnsi="宋体" w:eastAsia="仿宋_GB2312" w:cs="宋体"/>
          <w:kern w:val="0"/>
          <w:sz w:val="32"/>
          <w:szCs w:val="32"/>
        </w:rPr>
        <w:t>。</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p>
    <w:p>
      <w:pPr>
        <w:widowControl/>
        <w:spacing w:before="156" w:beforeLines="50"/>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line="56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5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5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z w:val="32"/>
          <w:szCs w:val="32"/>
        </w:rPr>
        <w:t>包括公共财政拨款（补助）资金、专项收入。</w:t>
      </w:r>
    </w:p>
    <w:p>
      <w:pPr>
        <w:spacing w:line="55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5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包括事业收入、经营收入、其他收入等。</w:t>
      </w:r>
    </w:p>
    <w:p>
      <w:pPr>
        <w:spacing w:line="55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5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部门支出预算的组成部分，是自治区本级部门为完成其特定的行政任务或事业发展目标，在基本支出预算之外编制的年度项目支出计划。</w:t>
      </w:r>
    </w:p>
    <w:p>
      <w:pPr>
        <w:spacing w:line="55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自治区本级部门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50" w:lineRule="exact"/>
        <w:ind w:firstLine="642"/>
        <w:rPr>
          <w:rFonts w:ascii="仿宋_GB2312" w:hAnsi="宋体" w:eastAsia="仿宋_GB2312" w:cs="宋体"/>
          <w:kern w:val="0"/>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w:t>
      </w:r>
      <w:r>
        <w:rPr>
          <w:rFonts w:hint="eastAsia" w:ascii="仿宋_GB2312" w:hAnsi="宋体" w:eastAsia="仿宋_GB2312"/>
          <w:kern w:val="0"/>
          <w:sz w:val="32"/>
          <w:szCs w:val="32"/>
        </w:rPr>
        <w:t>新疆昌吉方汇水电设计有限公司</w:t>
      </w:r>
    </w:p>
    <w:p>
      <w:pPr>
        <w:widowControl/>
        <w:spacing w:line="56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2019</w:t>
      </w:r>
      <w:r>
        <w:rPr>
          <w:rFonts w:ascii="仿宋_GB2312" w:hAnsi="宋体" w:eastAsia="仿宋_GB2312" w:cs="宋体"/>
          <w:kern w:val="0"/>
          <w:sz w:val="32"/>
          <w:szCs w:val="32"/>
        </w:rPr>
        <w:t>年</w:t>
      </w:r>
      <w:r>
        <w:rPr>
          <w:rFonts w:hint="eastAsia" w:ascii="仿宋_GB2312" w:hAnsi="宋体" w:eastAsia="仿宋_GB2312" w:cs="宋体"/>
          <w:kern w:val="0"/>
          <w:sz w:val="32"/>
          <w:szCs w:val="32"/>
        </w:rPr>
        <w:t>1</w:t>
      </w:r>
      <w:r>
        <w:rPr>
          <w:rFonts w:ascii="仿宋_GB2312" w:hAnsi="宋体" w:eastAsia="仿宋_GB2312" w:cs="宋体"/>
          <w:kern w:val="0"/>
          <w:sz w:val="32"/>
          <w:szCs w:val="32"/>
        </w:rPr>
        <w:t>月</w:t>
      </w:r>
      <w:r>
        <w:rPr>
          <w:rFonts w:hint="eastAsia" w:ascii="仿宋_GB2312" w:hAnsi="宋体" w:eastAsia="仿宋_GB2312" w:cs="宋体"/>
          <w:kern w:val="0"/>
          <w:sz w:val="32"/>
          <w:szCs w:val="32"/>
        </w:rPr>
        <w:t xml:space="preserve"> 31</w:t>
      </w:r>
      <w:r>
        <w:rPr>
          <w:rFonts w:ascii="仿宋_GB2312" w:hAnsi="宋体" w:eastAsia="仿宋_GB2312" w:cs="宋体"/>
          <w:kern w:val="0"/>
          <w:sz w:val="32"/>
          <w:szCs w:val="32"/>
        </w:rPr>
        <w:t>日</w:t>
      </w:r>
    </w:p>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altName w:val="宋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Helvetica">
    <w:altName w:val="Arial"/>
    <w:panose1 w:val="020B0604020202020204"/>
    <w:charset w:val="00"/>
    <w:family w:val="swiss"/>
    <w:pitch w:val="default"/>
    <w:sig w:usb0="00000000" w:usb1="00000000" w:usb2="00000000" w:usb3="00000000" w:csb0="00000001" w:csb1="00000000"/>
  </w:font>
  <w:font w:name="方正小标宋_GBK">
    <w:altName w:val="微软雅黑"/>
    <w:panose1 w:val="00000000000000000000"/>
    <w:charset w:val="86"/>
    <w:family w:val="script"/>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right"/>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17</w:t>
    </w:r>
    <w:r>
      <w:rPr>
        <w:rFonts w:ascii="宋体" w:hAnsi="宋体" w:eastAsia="宋体"/>
        <w:sz w:val="28"/>
        <w:szCs w:val="28"/>
      </w:rPr>
      <w:fldChar w:fldCharType="end"/>
    </w:r>
  </w:p>
  <w:p>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30 -</w:t>
    </w:r>
    <w:r>
      <w:rPr>
        <w:rFonts w:ascii="宋体" w:hAnsi="宋体" w:eastAsia="宋体"/>
        <w:sz w:val="28"/>
        <w:szCs w:val="28"/>
      </w:rPr>
      <w:fldChar w:fldCharType="end"/>
    </w:r>
  </w:p>
  <w:p>
    <w:pPr>
      <w:pStyle w:val="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val="1"/>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B5144"/>
    <w:rsid w:val="00016875"/>
    <w:rsid w:val="001833B0"/>
    <w:rsid w:val="001A78A9"/>
    <w:rsid w:val="00211225"/>
    <w:rsid w:val="00213149"/>
    <w:rsid w:val="00261337"/>
    <w:rsid w:val="00294EA0"/>
    <w:rsid w:val="002B5144"/>
    <w:rsid w:val="002C6280"/>
    <w:rsid w:val="00325B17"/>
    <w:rsid w:val="005F058A"/>
    <w:rsid w:val="00622923"/>
    <w:rsid w:val="006820F8"/>
    <w:rsid w:val="0070791D"/>
    <w:rsid w:val="00757310"/>
    <w:rsid w:val="007A3715"/>
    <w:rsid w:val="007E4E01"/>
    <w:rsid w:val="00835FE2"/>
    <w:rsid w:val="00841512"/>
    <w:rsid w:val="008A31A0"/>
    <w:rsid w:val="00927A51"/>
    <w:rsid w:val="00A97F62"/>
    <w:rsid w:val="00A97F8E"/>
    <w:rsid w:val="00AF7356"/>
    <w:rsid w:val="00BC34BF"/>
    <w:rsid w:val="00BE22A0"/>
    <w:rsid w:val="00CB1828"/>
    <w:rsid w:val="00D03EF1"/>
    <w:rsid w:val="00D70C93"/>
    <w:rsid w:val="00D95B2F"/>
    <w:rsid w:val="00DB1713"/>
    <w:rsid w:val="00EA68C7"/>
    <w:rsid w:val="00EE458B"/>
    <w:rsid w:val="00F30F99"/>
    <w:rsid w:val="00FC6ABD"/>
    <w:rsid w:val="00FE1B9F"/>
    <w:rsid w:val="0AD943BB"/>
    <w:rsid w:val="153A50A6"/>
    <w:rsid w:val="1FAE4440"/>
    <w:rsid w:val="30253278"/>
    <w:rsid w:val="3CB13EE2"/>
    <w:rsid w:val="41EA707B"/>
    <w:rsid w:val="473E207E"/>
    <w:rsid w:val="5655363D"/>
    <w:rsid w:val="594562AA"/>
    <w:rsid w:val="600204E0"/>
    <w:rsid w:val="71523062"/>
    <w:rsid w:val="74BC0F3A"/>
    <w:rsid w:val="77946CC4"/>
    <w:rsid w:val="78283DCA"/>
    <w:rsid w:val="7FEB50A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9">
    <w:name w:val="Default Paragraph Font"/>
    <w:semiHidden/>
    <w:unhideWhenUsed/>
    <w:uiPriority w:val="1"/>
  </w:style>
  <w:style w:type="table" w:default="1" w:styleId="7">
    <w:name w:val="Normal Table"/>
    <w:semiHidden/>
    <w:unhideWhenUsed/>
    <w:uiPriority w:val="99"/>
    <w:tblPr>
      <w:tblLayout w:type="fixed"/>
      <w:tblCellMar>
        <w:top w:w="0" w:type="dxa"/>
        <w:left w:w="108" w:type="dxa"/>
        <w:bottom w:w="0" w:type="dxa"/>
        <w:right w:w="108" w:type="dxa"/>
      </w:tblCellMar>
    </w:tblPr>
  </w:style>
  <w:style w:type="paragraph" w:styleId="2">
    <w:name w:val="Balloon Text"/>
    <w:basedOn w:val="1"/>
    <w:link w:val="14"/>
    <w:semiHidden/>
    <w:qFormat/>
    <w:uiPriority w:val="0"/>
    <w:rPr>
      <w:sz w:val="18"/>
      <w:szCs w:val="18"/>
    </w:rPr>
  </w:style>
  <w:style w:type="paragraph" w:styleId="3">
    <w:name w:val="footer"/>
    <w:basedOn w:val="1"/>
    <w:link w:val="12"/>
    <w:qFormat/>
    <w:uiPriority w:val="99"/>
    <w:pPr>
      <w:tabs>
        <w:tab w:val="center" w:pos="4153"/>
        <w:tab w:val="right" w:pos="8306"/>
      </w:tabs>
      <w:snapToGrid w:val="0"/>
      <w:jc w:val="left"/>
    </w:pPr>
    <w:rPr>
      <w:rFonts w:eastAsia="黑体"/>
      <w:snapToGrid w:val="0"/>
      <w:kern w:val="0"/>
      <w:sz w:val="18"/>
      <w:szCs w:val="18"/>
    </w:rPr>
  </w:style>
  <w:style w:type="paragraph" w:styleId="4">
    <w:name w:val="header"/>
    <w:basedOn w:val="1"/>
    <w:link w:val="15"/>
    <w:qFormat/>
    <w:uiPriority w:val="0"/>
    <w:pPr>
      <w:pBdr>
        <w:bottom w:val="single" w:color="auto" w:sz="6" w:space="1"/>
      </w:pBdr>
      <w:tabs>
        <w:tab w:val="center" w:pos="4153"/>
        <w:tab w:val="right" w:pos="8306"/>
      </w:tabs>
      <w:snapToGrid w:val="0"/>
      <w:jc w:val="center"/>
    </w:pPr>
    <w:rPr>
      <w:sz w:val="18"/>
      <w:szCs w:val="18"/>
    </w:rPr>
  </w:style>
  <w:style w:type="paragraph" w:styleId="5">
    <w:name w:val="Body Text Indent 3"/>
    <w:basedOn w:val="1"/>
    <w:link w:val="16"/>
    <w:qFormat/>
    <w:uiPriority w:val="0"/>
    <w:pPr>
      <w:pBdr>
        <w:top w:val="single" w:color="auto" w:sz="12" w:space="1"/>
        <w:bottom w:val="single" w:color="auto" w:sz="12" w:space="1"/>
      </w:pBdr>
      <w:spacing w:line="600" w:lineRule="exact"/>
      <w:ind w:left="1280" w:hanging="1280" w:hangingChars="400"/>
    </w:pPr>
    <w:rPr>
      <w:rFonts w:eastAsia="仿宋_GB2312"/>
      <w:sz w:val="32"/>
    </w:rPr>
  </w:style>
  <w:style w:type="paragraph" w:styleId="6">
    <w:name w:val="Normal (Web)"/>
    <w:basedOn w:val="1"/>
    <w:unhideWhenUsed/>
    <w:qFormat/>
    <w:uiPriority w:val="0"/>
    <w:pPr>
      <w:widowControl/>
      <w:spacing w:before="100" w:beforeAutospacing="1" w:after="100" w:afterAutospacing="1"/>
      <w:jc w:val="left"/>
    </w:pPr>
    <w:rPr>
      <w:rFonts w:ascii="宋体" w:hAnsi="宋体" w:cs="宋体"/>
      <w:kern w:val="0"/>
      <w:sz w:val="24"/>
    </w:rPr>
  </w:style>
  <w:style w:type="table" w:styleId="8">
    <w:name w:val="Table Grid"/>
    <w:basedOn w:val="7"/>
    <w:qFormat/>
    <w:uiPriority w:val="59"/>
    <w:rPr>
      <w:rFonts w:ascii="Calibri" w:hAnsi="Calibri" w:eastAsia="宋体" w:cs="Times New Roman"/>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style>
  <w:style w:type="character" w:styleId="10">
    <w:name w:val="Strong"/>
    <w:qFormat/>
    <w:uiPriority w:val="0"/>
    <w:rPr>
      <w:rFonts w:cs="Times New Roman"/>
      <w:b/>
      <w:bCs/>
    </w:rPr>
  </w:style>
  <w:style w:type="character" w:styleId="11">
    <w:name w:val="page number"/>
    <w:basedOn w:val="9"/>
    <w:qFormat/>
    <w:uiPriority w:val="0"/>
  </w:style>
  <w:style w:type="character" w:customStyle="1" w:styleId="12">
    <w:name w:val="页脚 Char"/>
    <w:basedOn w:val="9"/>
    <w:link w:val="3"/>
    <w:qFormat/>
    <w:uiPriority w:val="99"/>
    <w:rPr>
      <w:rFonts w:ascii="Times New Roman" w:hAnsi="Times New Roman" w:eastAsia="黑体" w:cs="Times New Roman"/>
      <w:snapToGrid w:val="0"/>
      <w:kern w:val="0"/>
      <w:sz w:val="18"/>
      <w:szCs w:val="18"/>
    </w:rPr>
  </w:style>
  <w:style w:type="paragraph" w:customStyle="1" w:styleId="13">
    <w:name w:val="f1"/>
    <w:basedOn w:val="1"/>
    <w:qFormat/>
    <w:uiPriority w:val="0"/>
    <w:pPr>
      <w:widowControl/>
      <w:spacing w:before="100" w:beforeAutospacing="1" w:after="100" w:afterAutospacing="1"/>
      <w:jc w:val="center"/>
    </w:pPr>
    <w:rPr>
      <w:rFonts w:ascii="Helvetica" w:hAnsi="Helvetica" w:cs="Helvetica"/>
      <w:b/>
      <w:bCs/>
      <w:color w:val="FF8080"/>
      <w:spacing w:val="160"/>
      <w:kern w:val="0"/>
      <w:sz w:val="80"/>
      <w:szCs w:val="80"/>
    </w:rPr>
  </w:style>
  <w:style w:type="character" w:customStyle="1" w:styleId="14">
    <w:name w:val="批注框文本 Char"/>
    <w:basedOn w:val="9"/>
    <w:link w:val="2"/>
    <w:semiHidden/>
    <w:qFormat/>
    <w:uiPriority w:val="0"/>
    <w:rPr>
      <w:rFonts w:ascii="Times New Roman" w:hAnsi="Times New Roman" w:eastAsia="宋体" w:cs="Times New Roman"/>
      <w:sz w:val="18"/>
      <w:szCs w:val="18"/>
    </w:rPr>
  </w:style>
  <w:style w:type="character" w:customStyle="1" w:styleId="15">
    <w:name w:val="页眉 Char"/>
    <w:basedOn w:val="9"/>
    <w:link w:val="4"/>
    <w:qFormat/>
    <w:uiPriority w:val="0"/>
    <w:rPr>
      <w:rFonts w:ascii="Times New Roman" w:hAnsi="Times New Roman" w:eastAsia="宋体" w:cs="Times New Roman"/>
      <w:sz w:val="18"/>
      <w:szCs w:val="18"/>
    </w:rPr>
  </w:style>
  <w:style w:type="character" w:customStyle="1" w:styleId="16">
    <w:name w:val="正文文本缩进 3 Char"/>
    <w:basedOn w:val="9"/>
    <w:link w:val="5"/>
    <w:qFormat/>
    <w:uiPriority w:val="0"/>
    <w:rPr>
      <w:rFonts w:ascii="Times New Roman" w:hAnsi="Times New Roman" w:eastAsia="仿宋_GB2312" w:cs="Times New Roman"/>
      <w:sz w:val="32"/>
      <w:szCs w:val="24"/>
    </w:rPr>
  </w:style>
  <w:style w:type="paragraph" w:styleId="17">
    <w:name w:val="List Paragraph"/>
    <w:basedOn w:val="1"/>
    <w:qFormat/>
    <w:uiPriority w:val="34"/>
    <w:pPr>
      <w:ind w:firstLine="420" w:firstLineChars="200"/>
    </w:pPr>
    <w:rPr>
      <w:rFonts w:ascii="Calibri" w:hAnsi="Calibri"/>
      <w:szCs w:val="22"/>
    </w:rPr>
  </w:style>
  <w:style w:type="paragraph" w:customStyle="1" w:styleId="18">
    <w:name w:val="普通(网站)1"/>
    <w:basedOn w:val="1"/>
    <w:qFormat/>
    <w:uiPriority w:val="0"/>
    <w:rPr>
      <w:rFonts w:ascii="Calibri" w:hAnsi="Calibri" w:cs="黑体"/>
      <w:sz w:val="24"/>
    </w:rPr>
  </w:style>
  <w:style w:type="paragraph" w:customStyle="1" w:styleId="19">
    <w:name w:val="普通(网站)2"/>
    <w:basedOn w:val="1"/>
    <w:qFormat/>
    <w:uiPriority w:val="0"/>
    <w:rPr>
      <w:rFonts w:ascii="Calibri" w:hAnsi="Calibri" w:cs="黑体"/>
      <w:sz w:val="24"/>
    </w:rPr>
  </w:style>
  <w:style w:type="paragraph" w:customStyle="1" w:styleId="20">
    <w:name w:val="普通(网站)3"/>
    <w:basedOn w:val="1"/>
    <w:qFormat/>
    <w:uiPriority w:val="0"/>
    <w:rPr>
      <w:rFonts w:ascii="Calibri" w:hAnsi="Calibri" w:cs="黑体"/>
      <w:sz w:val="2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2.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36A9EAA-EE45-4220-9F12-126E3415D38F}">
  <ds:schemaRefs/>
</ds:datastoreItem>
</file>

<file path=docProps/app.xml><?xml version="1.0" encoding="utf-8"?>
<Properties xmlns="http://schemas.openxmlformats.org/officeDocument/2006/extended-properties" xmlns:vt="http://schemas.openxmlformats.org/officeDocument/2006/docPropsVTypes">
  <Template>Normal</Template>
  <Company>Lenovo</Company>
  <Pages>21</Pages>
  <Words>1378</Words>
  <Characters>7856</Characters>
  <Lines>65</Lines>
  <Paragraphs>18</Paragraphs>
  <TotalTime>15</TotalTime>
  <ScaleCrop>false</ScaleCrop>
  <LinksUpToDate>false</LinksUpToDate>
  <CharactersWithSpaces>9216</CharactersWithSpaces>
  <Application>WPS Office_11.8.2.8555_F1E327BC-269C-435d-A152-05C5408002CA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2019-01-15T10:37:00Z</dcterms:created>
  <dc:creator>王怡</dc:creator>
  <cp:lastModifiedBy>Administrator</cp:lastModifiedBy>
  <cp:lastPrinted>2021-05-28T04:24:00Z</cp:lastPrinted>
  <dcterms:modified xsi:type="dcterms:W3CDTF">2025-02-10T10:40:29Z</dcterms:modified>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2052-11.8.2.8555</vt:lpwstr>
  </property>
</Properties>
</file>