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8D5A0">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412BF58F">
      <w:pPr>
        <w:spacing w:line="540" w:lineRule="exact"/>
        <w:jc w:val="center"/>
        <w:rPr>
          <w:rFonts w:ascii="华文中宋" w:hAnsi="华文中宋" w:eastAsia="华文中宋" w:cs="宋体"/>
          <w:b/>
          <w:kern w:val="0"/>
          <w:sz w:val="52"/>
          <w:szCs w:val="52"/>
        </w:rPr>
      </w:pPr>
    </w:p>
    <w:p w14:paraId="05A2E142">
      <w:pPr>
        <w:spacing w:line="540" w:lineRule="exact"/>
        <w:jc w:val="center"/>
        <w:rPr>
          <w:rFonts w:ascii="华文中宋" w:hAnsi="华文中宋" w:eastAsia="华文中宋" w:cs="宋体"/>
          <w:b/>
          <w:kern w:val="0"/>
          <w:sz w:val="52"/>
          <w:szCs w:val="52"/>
        </w:rPr>
      </w:pPr>
    </w:p>
    <w:p w14:paraId="09838BEC">
      <w:pPr>
        <w:spacing w:line="540" w:lineRule="exact"/>
        <w:jc w:val="center"/>
        <w:rPr>
          <w:rFonts w:ascii="华文中宋" w:hAnsi="华文中宋" w:eastAsia="华文中宋" w:cs="宋体"/>
          <w:b/>
          <w:kern w:val="0"/>
          <w:sz w:val="52"/>
          <w:szCs w:val="52"/>
        </w:rPr>
      </w:pPr>
    </w:p>
    <w:p w14:paraId="1BE682D0">
      <w:pPr>
        <w:spacing w:line="540" w:lineRule="exact"/>
        <w:jc w:val="center"/>
        <w:rPr>
          <w:rFonts w:ascii="华文中宋" w:hAnsi="华文中宋" w:eastAsia="华文中宋" w:cs="宋体"/>
          <w:b/>
          <w:kern w:val="0"/>
          <w:sz w:val="52"/>
          <w:szCs w:val="52"/>
        </w:rPr>
      </w:pPr>
    </w:p>
    <w:p w14:paraId="2FB10B15">
      <w:pPr>
        <w:spacing w:line="540" w:lineRule="exact"/>
        <w:jc w:val="center"/>
        <w:rPr>
          <w:rFonts w:ascii="华文中宋" w:hAnsi="华文中宋" w:eastAsia="华文中宋" w:cs="宋体"/>
          <w:b/>
          <w:kern w:val="0"/>
          <w:sz w:val="52"/>
          <w:szCs w:val="52"/>
        </w:rPr>
      </w:pPr>
    </w:p>
    <w:p w14:paraId="5567656C">
      <w:pPr>
        <w:spacing w:line="540" w:lineRule="exact"/>
        <w:jc w:val="center"/>
        <w:rPr>
          <w:rFonts w:ascii="华文中宋" w:hAnsi="华文中宋" w:eastAsia="华文中宋" w:cs="宋体"/>
          <w:b/>
          <w:kern w:val="0"/>
          <w:sz w:val="52"/>
          <w:szCs w:val="52"/>
        </w:rPr>
      </w:pPr>
    </w:p>
    <w:p w14:paraId="15ADC9AB">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自治区财政项目支出绩效自评报告</w:t>
      </w:r>
    </w:p>
    <w:p w14:paraId="2B105475">
      <w:pPr>
        <w:spacing w:line="540" w:lineRule="exact"/>
        <w:jc w:val="center"/>
        <w:rPr>
          <w:rFonts w:ascii="华文中宋" w:hAnsi="华文中宋" w:eastAsia="华文中宋" w:cs="宋体"/>
          <w:b/>
          <w:kern w:val="0"/>
          <w:sz w:val="52"/>
          <w:szCs w:val="52"/>
        </w:rPr>
      </w:pPr>
    </w:p>
    <w:p w14:paraId="00B7ACD9">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2022</w:t>
      </w:r>
      <w:r>
        <w:rPr>
          <w:rFonts w:hint="eastAsia" w:hAnsi="宋体" w:eastAsia="仿宋_GB2312" w:cs="宋体"/>
          <w:kern w:val="0"/>
          <w:sz w:val="36"/>
          <w:szCs w:val="36"/>
        </w:rPr>
        <w:t xml:space="preserve">  年度）</w:t>
      </w:r>
    </w:p>
    <w:p w14:paraId="4E739B5D">
      <w:pPr>
        <w:spacing w:line="540" w:lineRule="exact"/>
        <w:jc w:val="center"/>
        <w:rPr>
          <w:rFonts w:hAnsi="宋体" w:eastAsia="仿宋_GB2312" w:cs="宋体"/>
          <w:kern w:val="0"/>
          <w:sz w:val="30"/>
          <w:szCs w:val="30"/>
        </w:rPr>
      </w:pPr>
    </w:p>
    <w:p w14:paraId="05F6461B">
      <w:pPr>
        <w:spacing w:line="540" w:lineRule="exact"/>
        <w:jc w:val="center"/>
        <w:rPr>
          <w:rFonts w:hAnsi="宋体" w:eastAsia="仿宋_GB2312" w:cs="宋体"/>
          <w:kern w:val="0"/>
          <w:sz w:val="30"/>
          <w:szCs w:val="30"/>
        </w:rPr>
      </w:pPr>
    </w:p>
    <w:p w14:paraId="0930374E">
      <w:pPr>
        <w:spacing w:line="540" w:lineRule="exact"/>
        <w:jc w:val="center"/>
        <w:rPr>
          <w:rFonts w:ascii="方正小标宋_GBK" w:hAnsi="宋体" w:eastAsia="方正小标宋_GBK" w:cs="宋体"/>
          <w:kern w:val="0"/>
          <w:sz w:val="36"/>
          <w:szCs w:val="36"/>
        </w:rPr>
      </w:pPr>
      <w:r>
        <w:rPr>
          <w:rFonts w:hint="eastAsia" w:ascii="方正小标宋_GBK" w:hAnsi="宋体" w:eastAsia="方正小标宋_GBK" w:cs="宋体"/>
          <w:kern w:val="0"/>
          <w:sz w:val="36"/>
          <w:szCs w:val="36"/>
        </w:rPr>
        <w:t>参考模板</w:t>
      </w:r>
    </w:p>
    <w:p w14:paraId="1B00A867">
      <w:pPr>
        <w:spacing w:line="540" w:lineRule="exact"/>
        <w:jc w:val="center"/>
        <w:rPr>
          <w:rFonts w:hAnsi="宋体" w:eastAsia="仿宋_GB2312" w:cs="宋体"/>
          <w:kern w:val="0"/>
          <w:sz w:val="30"/>
          <w:szCs w:val="30"/>
        </w:rPr>
      </w:pPr>
    </w:p>
    <w:p w14:paraId="32D16788">
      <w:pPr>
        <w:spacing w:line="540" w:lineRule="exact"/>
        <w:jc w:val="center"/>
        <w:rPr>
          <w:rFonts w:hAnsi="宋体" w:eastAsia="仿宋_GB2312" w:cs="宋体"/>
          <w:kern w:val="0"/>
          <w:sz w:val="30"/>
          <w:szCs w:val="30"/>
        </w:rPr>
      </w:pPr>
    </w:p>
    <w:p w14:paraId="4402062A">
      <w:pPr>
        <w:spacing w:line="540" w:lineRule="exact"/>
        <w:jc w:val="center"/>
        <w:rPr>
          <w:rFonts w:hAnsi="宋体" w:eastAsia="仿宋_GB2312" w:cs="宋体"/>
          <w:kern w:val="0"/>
          <w:sz w:val="30"/>
          <w:szCs w:val="30"/>
        </w:rPr>
      </w:pPr>
    </w:p>
    <w:p w14:paraId="610D60EF">
      <w:pPr>
        <w:spacing w:line="540" w:lineRule="exact"/>
        <w:rPr>
          <w:rFonts w:hAnsi="宋体" w:eastAsia="仿宋_GB2312" w:cs="宋体"/>
          <w:kern w:val="0"/>
          <w:sz w:val="30"/>
          <w:szCs w:val="30"/>
        </w:rPr>
      </w:pPr>
    </w:p>
    <w:p w14:paraId="2252C601">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3729D392">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监测仪器设备维修维护项目</w:t>
      </w:r>
    </w:p>
    <w:p w14:paraId="4FE42A68">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昌吉回族自治州环境监测站</w:t>
      </w:r>
    </w:p>
    <w:p w14:paraId="7F55425E">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昌吉回族自治州环境监测站</w:t>
      </w:r>
    </w:p>
    <w:p w14:paraId="64BBBB7F">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周晶</w:t>
      </w:r>
    </w:p>
    <w:p w14:paraId="19ED3657">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2023年06月08日</w:t>
      </w:r>
    </w:p>
    <w:p w14:paraId="607207C8">
      <w:pPr>
        <w:spacing w:line="700" w:lineRule="exact"/>
        <w:ind w:firstLine="708" w:firstLineChars="236"/>
        <w:jc w:val="left"/>
        <w:rPr>
          <w:rFonts w:hAnsi="宋体" w:eastAsia="仿宋_GB2312" w:cs="宋体"/>
          <w:kern w:val="0"/>
          <w:sz w:val="30"/>
          <w:szCs w:val="30"/>
        </w:rPr>
      </w:pPr>
    </w:p>
    <w:p w14:paraId="7032F1DF">
      <w:pPr>
        <w:spacing w:line="540" w:lineRule="exact"/>
        <w:rPr>
          <w:rStyle w:val="18"/>
          <w:rFonts w:ascii="黑体" w:hAnsi="黑体" w:eastAsia="黑体"/>
          <w:b w:val="0"/>
          <w:spacing w:val="-4"/>
          <w:sz w:val="32"/>
          <w:szCs w:val="32"/>
        </w:rPr>
      </w:pPr>
    </w:p>
    <w:p w14:paraId="278C11DC">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一、项目概况</w:t>
      </w:r>
    </w:p>
    <w:p w14:paraId="0AEEA8C1">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（一）项目单位基本情况</w:t>
      </w:r>
    </w:p>
    <w:p w14:paraId="3B2CB2C4">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1.项目背景根据《关于下达昌吉州本级预算单位2022年部门预算的通知》（昌州财建〔2022〕1号）文件要求，积极响应中共十九届五中全会提出的深入打好污染防治攻坚战，持续改善生态环境质量的要求，对标2035年美丽中国建设目标要求，结合“十三五”坚决打好污染防治攻坚战相关经验，“十四五”期间进一步依靠科技手段和科学的方法，为污染防治提供决策依据。根据2022年全面打赢打胜</w:t>
      </w:r>
      <w:bookmarkStart w:id="0" w:name="_GoBack"/>
      <w:bookmarkEnd w:id="0"/>
      <w:r>
        <w:rPr>
          <w:rStyle w:val="18"/>
          <w:rFonts w:hint="eastAsia" w:ascii="楷体" w:hAnsi="楷体" w:eastAsia="楷体"/>
          <w:spacing w:val="-4"/>
          <w:sz w:val="32"/>
          <w:szCs w:val="32"/>
          <w:lang w:eastAsia="zh-CN"/>
        </w:rPr>
        <w:t>污染防治攻坚战</w:t>
      </w:r>
      <w:r>
        <w:rPr>
          <w:rStyle w:val="18"/>
          <w:rFonts w:hint="eastAsia" w:ascii="楷体" w:hAnsi="楷体" w:eastAsia="楷体"/>
          <w:spacing w:val="-4"/>
          <w:sz w:val="32"/>
          <w:szCs w:val="32"/>
        </w:rPr>
        <w:t>的要求，我站按照自治区下发的监测方案制定《2022年昌吉州生态环境监测技术方案》做好常规监测、重点污染源监督性监测、废气挥发性有机物VOCs的监测以及设备、仪器维护等工作。2.项目主要内容及实施情况本项目主要内容为：1.承担昌吉州大气、水、土壤等方面的环境质量现状监测及污染源监督性监测、节能减排监测等环境监测任务，为环境管理提供科学数据。2.为了保证监测数据的准确性和有效性，加强了设备日常管理等方面的工作，保证实验室各类大型仪器的正常运转和使用。项目实施情况：根据昌州党财《关于下达昌吉州本级预算单位2022年部门预算的通知》（昌州财建〔2022〕1号）文件要求，昌吉州环境监测站2022年已收到监测仪器设备维修维护项目资金30万元。本项目于2022年1月开始实施，截止2022年12月已全部完成，通过本项目的实施：1.完成昌吉州地表水、地下水、土壤、环境空气、噪声、农村生态监测；完成昌吉州废水重点污染源企业半年一次监督性监测工作。2.完成设备、仪器以及实验室的维护、维修，保证监测数据的真实准确性。3.保证重点污染源监督性监测工作全覆盖。4.保证半年一次监督性监测工作的及时到位。5.为昌吉州和环境保护提供监测数据保障。6.社会满意度95%。7.维护环境保护可持续发展。3.项目实施主体2022年监测仪器设备维修维护项目的实施主体为昌吉回族自治州环境监测站，该单位纳入2022年部门决算编制范围的有10个科室，分别是：办公室、综合技术科、水质分析科、大气科监测科、污染源监测科、准东分站、应急监测科、生态监测科、辐射环境监测科、质量控制科。编制人数为58人，其中：行政人员编制0人、工勤0人、参公0人、事业编制58人。实有在职人数54人，其中：行政在职0人、工勤0人、参公0人、事业在职54人。离退休人员18人，其中：行政退休人员0人、事业退休18人。4. 资金投入和使用情况（1）项目资金安排落实、总投入情况根据《关于下达昌吉州本级预算单位2022年部门预算的通知》（昌州财建〔2022〕1号）文件，下达2022年监测仪器设备维修维护项目资金，预算安排资金总额30万元，其中财政资金30万元、其他资金0万元，2022年实际收到预算资金30万元，预算资金到位率为100%。（2）项目资金实际使用情况截至2022年12月31日，本项目实际支付资金30万元，预算执行率100%。项目资金主要用于支付监测仪器设备维修维护项目费用30万元。</w:t>
      </w:r>
    </w:p>
    <w:p w14:paraId="643347F7">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（二）项目预算</w:t>
      </w:r>
      <w:r>
        <w:rPr>
          <w:rStyle w:val="18"/>
          <w:rFonts w:ascii="楷体" w:hAnsi="楷体" w:eastAsia="楷体"/>
          <w:spacing w:val="-4"/>
          <w:sz w:val="32"/>
          <w:szCs w:val="32"/>
        </w:rPr>
        <w:t>绩效目标</w:t>
      </w:r>
      <w:r>
        <w:rPr>
          <w:rStyle w:val="18"/>
          <w:rFonts w:hint="eastAsia" w:ascii="楷体" w:hAnsi="楷体" w:eastAsia="楷体"/>
          <w:spacing w:val="-4"/>
          <w:sz w:val="32"/>
          <w:szCs w:val="32"/>
        </w:rPr>
        <w:t>设定情况</w:t>
      </w:r>
    </w:p>
    <w:p w14:paraId="285B3532">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1.总体目标根据《2022年昌吉州生态环境监测技术方案》，承担昌吉州大气、水、土壤等方面的环境质量现状监测及污染源监督性监测、节能减排监测等环境监测任务，为环境管理提供科学数据；保证监测数据的准确性和有效性，加强了设备日常管理等方面的工作，保证实验室各类大型仪器的正常运转和使用。2.阶段性目标根据《中华人民共和国预算法》、《中共中央国务院关于全面实施预算绩效管理的意见》（中发〔2018〕34号）、《关于印发&lt;项目支出绩效评价管理办法&gt;的通知》（财预〔2020〕10号）等文件要求，结合本项目实际，对绩效目标进行逐层分解、细化后的具体绩效指标如下：（1）项目产出目标①数量指标“监测设备维修台数”指标，预期指标值为“&gt;=20台”；②质量指标“设备正常运行率”指标，预期指标值为“&gt;=95%”；“设备数据有效合格率”指标，预期指标值为“&gt;=95%”；③时效指标“设备维修及时率”指标，预期指标值为“&gt;=90%”；④成本指标“水质分析室仪器维修费用”指标，预期指标值为“=20万元”；“污染源调查室维修费用”指标，预期指标值为“=8万元”；“大气室维修费用”指标，预期指标值为“=3万元”；（2）项目效益目标①经济效益指标无②社会效益指标“为环境质量保护提供技术支撑能力”指标，预期指标值为“效果明细”；③生态效益指标无④可持续影响指标“设备持续发挥作用的期限”，预期指标值为“&gt;=3年”；（3）相关满意度目标满意度指标“使用人员满意度”，预期指标值为“&gt;=95%”；</w:t>
      </w:r>
    </w:p>
    <w:p w14:paraId="2049B1E9">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二、项目资金使用及管理情况</w:t>
      </w:r>
    </w:p>
    <w:p w14:paraId="3F100FB5">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（一）项目资金安排落实、总投入等情况分析</w:t>
      </w:r>
    </w:p>
    <w:p w14:paraId="6E49DDE0">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1.绩效评价的目的本次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2.绩效评价的对象和范围本次绩效评价遵循财政部《关于印发&lt;项目支出绩效评价管理办法&gt;的通知》（财预〔2020〕10号）以及自治区财政厅《自治区财政支出绩效评价管理暂行办法》（新财预〔2018〕189号）等文件规定，对2022年度我单位实施的监测仪器设备维修维护项目开展部门绩效评价，主要围绕项目资金使用情况、财务管理状况和资产配置、使用、处置及其收益管理情况；项目管理相关制度及措施是否被认真执行；绩效目标的实现程度，包括是否达到预定产出和效果等方面开展综合评价。</w:t>
      </w:r>
    </w:p>
    <w:p w14:paraId="2C6A5E6E">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（二）项目资金实际使用情况分析</w:t>
      </w:r>
    </w:p>
    <w:p w14:paraId="6FFC075A">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1.绩效评价原则依据《中华人民共和国预算法》、《关于印发&lt;项目支出绩效评价管理办法&gt;的通知》（财预〔2020〕10号）等法规和政策文件要求，本次绩效评价秉承科学规范、公正公开、分级分类、绩效相关等原则，按照从投入、过程到产出效果和影响的绩效逻辑路径，结合监测仪器设备维修维护项目实际开展情况，运用定量和定性分析相结合的方法，总结经验做法，反思项目实施和管理中的问题，以切实提升财政资金管理的科学化、规范化和精细化水平。根据以上原则，绩效评价遵循如下具体要求：（1）在数据采集时，采取客观数据主管部门审查、社会中介组织复查与问卷调查相结合的形式，以保证各项指标的真实性。（2）保证评价结果的真实性、公正性，提高评价报告的公信力。（3）绩效评价报告简明扼要，除对绩效评价的过程、结果描述外，还总结经验、指出问题，并就共性问题提出可操作性改进建议。2.绩效评价指标体系及绩效评价标准绩效评价指标体系根据财政部《关于印发&lt;项目支出绩效评价管理办法&gt;的通知》（财预〔2020〕10号）、自治区财政厅《自治区财政支出绩效评价管理暂行办法》（新财预〔2018〕189号）等文件要求，结合本项目特点，在与专家组充分协商的基础上，评价工作组细化了该项目的绩效评价指标体系（详见附表1）：一级指标为：决策、过程、产出、效益。二级指标为：项目立项、绩效目标、资金投入、资金管理、组织实施、产出数量、产出质量、产出时效、产出成本、项目效益。三级指标为：立项依据充分性、立项程序规范性、绩效目标合理性、绩效指标明确性、预算编制科学性、资金分配合理性、资金到位率、预算执行率、资金使用合规性、管理制度健全性、制度执行有效性、实际完成率、质量达标率、完成及时性、成本节约率、社会效益、生态效益、可持续影响、服务对象满意度。3.评价方法本次评价采取定量与定性评价相结合的方式，采用比较法、公众评判法对项目实施过程以及预期绩效目标完成情况进行全面、系统的评价，总分由各项指标得分汇总形成。比较法：通过整理本项目相关资料和数据，评价数量指标的完成情况；通过分析项目的实施情况与绩效目标实现情况，评价项目实施的效果；通过分析项目资金使用情况及产生的效果，评价预算资金分配的合理性。 公众评判法：评价组采用实地访谈、远程访谈相结合方式，对本项目的实施情况进行充分调研，了解掌握资金分配、资金管理、资金使用、制度建设、制度执行情况。采用问卷调查方式，对受益对象开展满意度调查，进行综合评价。4.评价标准本项目评价指标体系的评价标准按照计划标准、行业标准、历史标准等制定。对于定性指标，通过问卷调查及访谈方式，采集相关数据，运用等级描述法，设置分级标准，体现该指标认可程度的差异。对于定量指标，通过公式等方式予以量化，可以准确衡量，并设定目标值的考核指标。绩效评价体系、标准等详见（附件1）。</w:t>
      </w:r>
    </w:p>
    <w:p w14:paraId="57FCC80E">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（三）项目资金管理情况分析</w:t>
      </w:r>
    </w:p>
    <w:p w14:paraId="7C83E650">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第一阶段：前期准备。我单位绩效评价人员根据《项目支出绩效评价管理办法》（财预〔2020〕10号）文件精神认真学习相关要求与规定，成立绩效评价工作组，作为绩效评价工作具体实施机构。成员构成如下：靳银燕（昌吉州环境监测站党支部书记）任评价组组长，绩效评价工作职责为检查项目绩效指标完成情况、审定项目支出绩效评价结果及项目支出绩效评价报告。张莉（昌吉州环境监测站副站长）任评价组副组长，绩效评价工作职责为组织和协调项目工作人员采取实地调查、资料检查等方式，核实项目绩效指标完成情况；组织受益对象对项目工作进行评价等。周晶（昌吉州环境监测站办公室副主任）任评价组成员，绩效评价工作职责为做好项目支出绩效评价工作的沟通协调工作，对项目实施情况进行实地调查，编写项目支出绩效评价报告。第二阶段：组织实施。评价组通过实地调研、查阅资料等方式，采用综合分析法对项目的决策、管理、绩效进行的综合评价分析。第三阶段：分析评价。首先按照指标体系进行定量、定性分析。其次开展量化打分、综合评价工作，形成初步评价结论。最后归纳整体项目情况与存在问题，撰写部门绩效评价报告。第四阶段：撰写与提交评价报告绩效评价项目小组依照整理、分析后的项目材料、数据资料，依据评价形成的初步结论，按照既定的格式和内容要求撰写绩效评价初步报告，最终形成评价结果。第五阶段：归集档案建立和落实档案管理制度，将项目相关资料存档，包括但不限于：评价项目基本情况和相关文件、评价实施方案、项目支付资料等相关档案。</w:t>
      </w:r>
    </w:p>
    <w:p w14:paraId="7B2BF9C1">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三、项目组织实施情况</w:t>
      </w:r>
    </w:p>
    <w:p w14:paraId="305EAF80">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（一）项目组织情况分析</w:t>
      </w:r>
    </w:p>
    <w:p w14:paraId="34EE5CE9">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综合评价情况通过监测仪器设备维修维护项目项目的实施，完成昌吉州大气、水、土壤等方面的环境质量现状监测及污染源监督性监测、节能减排监测等环境监测任务，为环境管理提供科学数据。保证了监测数据的准确性和有效性，加强了设备日常管理等方面的工作，保证实验室各类大型仪器的正常运转和使用。该项目预算执行率达100%，项目预期绩效目标及各项具体指标均已全部达成。（二）综合评价结论本次评价采取定量与定性评价相结合的方式，对监测仪器设备维修维护项目的绩效目标和各项具体绩效指标实现情况进行了客观评价，最终评分为100分。绩效评级为“优”，具体得分情况为：项目决策20分、项目过程20分、项目产出30分、项目效益30分。</w:t>
      </w:r>
    </w:p>
    <w:p w14:paraId="174BBA5C">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（二）项目管理情况分析</w:t>
      </w:r>
    </w:p>
    <w:p w14:paraId="1AC918AD">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（一）项目决策情况项目决策类指标从项目立项、绩效目标和资金投入三个方面评价项目前期准备工作，权重分值为 20 分，本项目实际得分20分，得分率为100%。具体各项指标得分如下：1.立项依据充分性：项目立项符合国家法律法规、自治区和地区行业发展规划和政策要求，属于本部门履职所需。根据评分标准，该指标3分，得3分。2.立项程序规范性：根据评分标准，该指标2分，得2分。3.绩效目标合理性：本项目制定了项目支出绩效目标，明确了项目总体思路及总目标、并对项目任务进行了详细分解，对目标进行了细化。根据评分标准，该指标3分，得3分。4.绩效指标明确性：本项目已将项目绩效目标细化分解为具体的绩效指标，并通过清晰、可衡量的指标值予以体现，与项目目标任务数或计划数相对应。根据评分标准，该指标2分，得2分。5.预算编制科学性：根据评分标准，该指标5分，得5分。6.资金分配合理性：本项目资金分配依据充分，资金分配额度合理，与项目地方实际相适应。根据评分标准，该指标5分，得5分。</w:t>
      </w:r>
    </w:p>
    <w:p w14:paraId="5E7BBDE3">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四、项目绩效情况</w:t>
      </w:r>
      <w:r>
        <w:rPr>
          <w:rStyle w:val="18"/>
          <w:rFonts w:hint="eastAsia" w:ascii="黑体" w:hAnsi="黑体" w:eastAsia="黑体"/>
        </w:rPr>
        <w:t xml:space="preserve"> </w:t>
      </w:r>
    </w:p>
    <w:p w14:paraId="6D650BCC">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（一）项目绩效目标完成情况分析</w:t>
      </w:r>
    </w:p>
    <w:p w14:paraId="24E01B06">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（二）项目过程情况项目过程类指标包括资金管理和组织实施两方面的内容，由 5个三级指标构成，权重分值为 20 分，本项目实际得分20分，得分率为100.0%。具体各项指标得分如下：1.资金到位率：该项目所需财政资金能够足额拨付到位，根据评分标准，该指标5分，得5分。   2.预算执行率：本项目预算较为详细，预算资金30万元，实际执行30万元，预算执行率为100%，项目资金支出总体能够按照预算执行，根据评分标准，该指标5分，得5分。3.资金使用合规性：项目任务下达后，我单位按照《昌吉州生态环境局及所属事业单位财务管理办法》和管理规定对经费使用进行规范管理，财务制度健全、执行严格，根据评分标准，该指标5分，得5分。4.管理制度健全性：我单位按照《昌吉州生态环境局及所属事业单位财务管理办法》等相关项目管理办法，同时对财政专项资金进行严格管理，基本做到了专款专用，根据评分标准，该指标2分，得2分。5.制度执行有效性：遵守相关法律法规及昌吉州生态环境局相关管理规定，财务对资金的使用合法合规性进行监督，年底对资金使用效果进行自评，根据评分标准，该指标3分，得3分。</w:t>
      </w:r>
    </w:p>
    <w:p w14:paraId="54ABE8D6">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（二）项目绩效目标未完成原因分析</w:t>
      </w:r>
    </w:p>
    <w:p w14:paraId="554FFD76">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三）项目产出情况项目产出类指标包括产出数量、产出质量、产出时效、产出成本共四方面的内容，由7个三级指标构成，权重分为30分，本项目实际得分30分，得分率为100%。具体各项指标得分如下：1.产出数量“监测设备维修台数”指标，预期指标值为“&gt;=20台”，根据资金支付凭证可知，实际完成20台，与预期目标一致，根据评分标准，该指标5分，得5分。2.产出质量（1）“设备正常运行率”指标，预期指标值为“&gt;=95%”，，根据设备自检情况可知，实际完成100%，与预期目标一致，根据评分标准，该指标2.5分，得2.5分。（2）“设备数据有效合格率”指标，预期指标值为“&gt;=95%”；根据质量控制要求可知，实际完成100%，与预期目标一致，根据评分标准，该指标2.5分，得2.5分。3.产出时效“设备维修及时率”指标，预期指标值为“&gt;=90%”；根据资金支付凭证可知，实际完成100%，与预期目标一致，根据评分标准，该指标5分，得5分。4.产出成本（1）“水质分析室仪器维修费用”指标，预期指标值为“=20万元”；根据资金支付凭证可知，实际完成20万元，与预期目标一致，根据评分标准，该指标5分，得5分。（2）“污染源调查室维修费用”指标，预期指标值为“=8万元”；根据资金支付凭证可知，实际完成8万元，与预期目标一致，根据评分标准，该指标5分，得5分。（3）“大气室维修费用”指标，预期指标值为“=3万元”；根据资金支付凭证可知，实际完成3万元，与预期目标一致，根据评分标准，该指标5分，得5分。</w:t>
      </w:r>
    </w:p>
    <w:p w14:paraId="4F071435">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五、其他需要说明的问题</w:t>
      </w:r>
    </w:p>
    <w:p w14:paraId="5E4C3243">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（一）后续工作计划</w:t>
      </w:r>
    </w:p>
    <w:p w14:paraId="1EC8E7AD">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四）项目效益情况项目效益类指标由2个二级指标和2个三级指标构成，权重分为30分，本项目实际得分30分，得分率为100.0%。具体各项指标得分如下：1.实施效益指标（1）社会效益指标“为环境质量保护提供技术支撑能力”指标，预期指标值为“效果明细”，根据监测报告可知，实际完成值为“效果明细”，根据评分标准，该指标10分，得10分。（2）可持续影响指标“设备持续发挥作用的期限”，预期指标值为“&gt;=3年”；根据设备、仪器使用情况可知，实际完成值为“3年”，根据评分标准，该指标10分，得10分。（3）经济效益指标本项目无该项指标。（4）生态效益指标本项目无该项指标。2.满意度指标“使用人员满意度”，预期指标值为“&gt;=95%”，根据满意度调查，收益对象满意度满意度达95%，根据评分标准，该指标10分,得10分。</w:t>
      </w:r>
    </w:p>
    <w:p w14:paraId="5A3916D9">
      <w:pPr>
        <w:spacing w:line="540" w:lineRule="exact"/>
        <w:ind w:firstLine="567" w:firstLineChars="181"/>
        <w:rPr>
          <w:rFonts w:ascii="楷体" w:hAnsi="楷体" w:eastAsia="楷体"/>
          <w:b/>
          <w:spacing w:val="-4"/>
          <w:sz w:val="32"/>
          <w:szCs w:val="32"/>
        </w:rPr>
      </w:pPr>
    </w:p>
    <w:p w14:paraId="46CBF8E9">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（二）主要经验及做法、存在问题和建议</w:t>
      </w:r>
    </w:p>
    <w:p w14:paraId="254249BA">
      <w:pPr>
        <w:spacing w:line="540" w:lineRule="exact"/>
        <w:ind w:firstLine="567"/>
        <w:rPr>
          <w:rStyle w:val="18"/>
          <w:rFonts w:ascii="楷体" w:hAnsi="楷体" w:eastAsia="楷体"/>
          <w:spacing w:val="-4"/>
          <w:sz w:val="32"/>
          <w:szCs w:val="32"/>
        </w:rPr>
      </w:pPr>
    </w:p>
    <w:p w14:paraId="58D53EBF">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（三）其他</w:t>
      </w:r>
    </w:p>
    <w:p w14:paraId="7C257D1F">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（一）预算执行进度监测仪器设备维修维护项目预算金额30万元，实际到位30万元，实际支出30万元，预算执行率为100%。（二）绩效指标偏差情况无。</w:t>
      </w:r>
    </w:p>
    <w:p w14:paraId="63763940">
      <w:pPr>
        <w:spacing w:line="540" w:lineRule="exact"/>
        <w:ind w:firstLine="567" w:firstLineChars="181"/>
        <w:rPr>
          <w:rFonts w:ascii="楷体" w:hAnsi="楷体" w:eastAsia="楷体"/>
          <w:b/>
          <w:spacing w:val="-4"/>
          <w:sz w:val="32"/>
          <w:szCs w:val="32"/>
        </w:rPr>
      </w:pPr>
    </w:p>
    <w:p w14:paraId="42D8F3C1">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六、项目评价工作情况</w:t>
      </w:r>
    </w:p>
    <w:p w14:paraId="4E375998">
      <w:pPr>
        <w:ind w:firstLine="624" w:firstLineChars="200"/>
        <w:rPr>
          <w:rFonts w:ascii="仿宋_GB2312" w:eastAsia="仿宋_GB2312"/>
          <w:spacing w:val="-4"/>
          <w:sz w:val="32"/>
          <w:szCs w:val="32"/>
        </w:rPr>
      </w:pPr>
      <w:r>
        <w:rPr>
          <w:rFonts w:hint="eastAsia" w:ascii="仿宋_GB2312" w:eastAsia="仿宋_GB2312"/>
          <w:spacing w:val="-4"/>
          <w:sz w:val="32"/>
          <w:szCs w:val="32"/>
        </w:rPr>
        <w:t>包括评价基础数据收集、资料来源和依据等佐证材料情况，项目现场勘验检查核实等情况</w:t>
      </w:r>
    </w:p>
    <w:p w14:paraId="6FAF6F98">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主要经验及做法。在监测仪器设备维修维护，合理合规使用经费。根据项目业务流程，参考历年经费使用情况，认真测算各阶段所需经费，确保当前项目实施经费充足。（二）存在问题及原因分析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p>
    <w:p w14:paraId="045179F9">
      <w:pPr>
        <w:ind w:firstLine="624" w:firstLineChars="200"/>
        <w:rPr>
          <w:rFonts w:ascii="仿宋_GB2312" w:eastAsia="仿宋_GB2312"/>
          <w:spacing w:val="-4"/>
          <w:sz w:val="32"/>
          <w:szCs w:val="32"/>
        </w:rPr>
      </w:pPr>
    </w:p>
    <w:p w14:paraId="474F12A5">
      <w:pPr>
        <w:spacing w:line="540" w:lineRule="exact"/>
        <w:ind w:firstLine="567"/>
        <w:rPr>
          <w:rStyle w:val="18"/>
          <w:rFonts w:ascii="仿宋" w:hAnsi="仿宋" w:eastAsia="仿宋"/>
          <w:b w:val="0"/>
          <w:spacing w:val="-4"/>
          <w:sz w:val="32"/>
          <w:szCs w:val="32"/>
        </w:rPr>
      </w:pPr>
    </w:p>
    <w:p w14:paraId="593CD873">
      <w:pPr>
        <w:spacing w:line="540" w:lineRule="exact"/>
        <w:ind w:firstLine="567"/>
        <w:rPr>
          <w:rStyle w:val="18"/>
          <w:rFonts w:ascii="仿宋" w:hAnsi="仿宋" w:eastAsia="仿宋"/>
          <w:b w:val="0"/>
          <w:spacing w:val="-4"/>
          <w:sz w:val="32"/>
          <w:szCs w:val="32"/>
        </w:rPr>
      </w:pPr>
    </w:p>
    <w:p w14:paraId="1561887C">
      <w:pPr>
        <w:spacing w:line="540" w:lineRule="exact"/>
        <w:ind w:firstLine="567"/>
        <w:rPr>
          <w:rStyle w:val="18"/>
          <w:rFonts w:ascii="仿宋" w:hAnsi="仿宋" w:eastAsia="仿宋"/>
          <w:b w:val="0"/>
          <w:spacing w:val="-4"/>
          <w:sz w:val="32"/>
          <w:szCs w:val="32"/>
        </w:rPr>
      </w:pPr>
    </w:p>
    <w:p w14:paraId="4D5B743F">
      <w:pPr>
        <w:spacing w:line="540" w:lineRule="exact"/>
        <w:ind w:firstLine="567"/>
        <w:rPr>
          <w:rStyle w:val="18"/>
          <w:rFonts w:ascii="仿宋" w:hAnsi="仿宋" w:eastAsia="仿宋"/>
          <w:b w:val="0"/>
          <w:spacing w:val="-4"/>
          <w:sz w:val="32"/>
          <w:szCs w:val="32"/>
        </w:rPr>
      </w:pPr>
    </w:p>
    <w:p w14:paraId="24667295">
      <w:pPr>
        <w:spacing w:line="540" w:lineRule="exact"/>
        <w:ind w:firstLine="567"/>
        <w:rPr>
          <w:rStyle w:val="18"/>
          <w:rFonts w:ascii="仿宋" w:hAnsi="仿宋" w:eastAsia="仿宋"/>
          <w:b w:val="0"/>
          <w:spacing w:val="-4"/>
          <w:sz w:val="32"/>
          <w:szCs w:val="32"/>
        </w:rPr>
      </w:pPr>
    </w:p>
    <w:p w14:paraId="579B499B">
      <w:pPr>
        <w:spacing w:line="540" w:lineRule="exact"/>
        <w:ind w:firstLine="567"/>
        <w:rPr>
          <w:rStyle w:val="18"/>
          <w:rFonts w:ascii="仿宋" w:hAnsi="仿宋" w:eastAsia="仿宋"/>
          <w:b w:val="0"/>
          <w:spacing w:val="-4"/>
          <w:sz w:val="32"/>
          <w:szCs w:val="32"/>
        </w:rPr>
      </w:pPr>
    </w:p>
    <w:p w14:paraId="0568ED99">
      <w:pPr>
        <w:spacing w:line="540" w:lineRule="exact"/>
        <w:ind w:firstLine="567"/>
        <w:rPr>
          <w:rStyle w:val="18"/>
          <w:rFonts w:ascii="仿宋" w:hAnsi="仿宋" w:eastAsia="仿宋"/>
          <w:b w:val="0"/>
          <w:spacing w:val="-4"/>
          <w:sz w:val="32"/>
          <w:szCs w:val="32"/>
        </w:rPr>
      </w:pPr>
    </w:p>
    <w:p w14:paraId="315C3DFE">
      <w:pPr>
        <w:spacing w:line="540" w:lineRule="exact"/>
        <w:ind w:firstLine="567"/>
        <w:rPr>
          <w:rStyle w:val="18"/>
          <w:rFonts w:ascii="仿宋" w:hAnsi="仿宋" w:eastAsia="仿宋"/>
          <w:b w:val="0"/>
          <w:spacing w:val="-4"/>
          <w:sz w:val="32"/>
          <w:szCs w:val="32"/>
        </w:rPr>
      </w:pPr>
    </w:p>
    <w:p w14:paraId="2F1F8DD8">
      <w:pPr>
        <w:spacing w:line="540" w:lineRule="exact"/>
        <w:ind w:firstLine="567"/>
        <w:rPr>
          <w:rStyle w:val="18"/>
          <w:rFonts w:ascii="仿宋" w:hAnsi="仿宋" w:eastAsia="仿宋"/>
          <w:b w:val="0"/>
          <w:spacing w:val="-4"/>
          <w:sz w:val="32"/>
          <w:szCs w:val="32"/>
        </w:rPr>
      </w:pPr>
    </w:p>
    <w:p w14:paraId="0B7F81B0">
      <w:pPr>
        <w:spacing w:line="540" w:lineRule="exact"/>
        <w:ind w:firstLine="567"/>
        <w:rPr>
          <w:rStyle w:val="18"/>
          <w:rFonts w:ascii="仿宋" w:hAnsi="仿宋" w:eastAsia="仿宋"/>
          <w:b w:val="0"/>
          <w:spacing w:val="-4"/>
          <w:sz w:val="32"/>
          <w:szCs w:val="32"/>
        </w:rPr>
      </w:pPr>
    </w:p>
    <w:p w14:paraId="2D32C575">
      <w:pPr>
        <w:spacing w:line="540" w:lineRule="exact"/>
        <w:ind w:firstLine="567"/>
        <w:rPr>
          <w:rStyle w:val="18"/>
          <w:rFonts w:ascii="仿宋" w:hAnsi="仿宋" w:eastAsia="仿宋"/>
          <w:b w:val="0"/>
          <w:spacing w:val="-4"/>
          <w:sz w:val="32"/>
          <w:szCs w:val="32"/>
        </w:rPr>
      </w:pPr>
    </w:p>
    <w:p w14:paraId="6110BEF8">
      <w:pPr>
        <w:spacing w:line="540" w:lineRule="exact"/>
        <w:ind w:firstLine="567"/>
        <w:rPr>
          <w:rStyle w:val="18"/>
          <w:rFonts w:ascii="仿宋" w:hAnsi="仿宋" w:eastAsia="仿宋"/>
          <w:b w:val="0"/>
          <w:spacing w:val="-4"/>
          <w:sz w:val="32"/>
          <w:szCs w:val="32"/>
        </w:rPr>
      </w:pPr>
    </w:p>
    <w:p w14:paraId="2B73A767">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docPartObj>
        <w:docPartGallery w:val="autotext"/>
      </w:docPartObj>
    </w:sdtPr>
    <w:sdtContent>
      <w:p w14:paraId="118A4812">
        <w:pPr>
          <w:pStyle w:val="12"/>
          <w:jc w:val="center"/>
        </w:pPr>
        <w:r>
          <w:fldChar w:fldCharType="begin"/>
        </w:r>
        <w:r>
          <w:instrText xml:space="preserve">PAGE   \* MERGEFORMAT</w:instrText>
        </w:r>
        <w:r>
          <w:fldChar w:fldCharType="separate"/>
        </w:r>
        <w:r>
          <w:rPr>
            <w:lang w:val="zh-CN"/>
          </w:rPr>
          <w:t>13</w:t>
        </w:r>
        <w:r>
          <w:fldChar w:fldCharType="end"/>
        </w:r>
      </w:p>
    </w:sdtContent>
  </w:sdt>
  <w:p w14:paraId="3EAF8A4D">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wYmJjOTQ3MTg0OGEyMWVlNjdkNGYyNGVjMGNjM2EifQ=="/>
  </w:docVars>
  <w:rsids>
    <w:rsidRoot w:val="00CA6457"/>
    <w:rsid w:val="00056465"/>
    <w:rsid w:val="00102DFF"/>
    <w:rsid w:val="00121AE4"/>
    <w:rsid w:val="00146AAD"/>
    <w:rsid w:val="001B3A40"/>
    <w:rsid w:val="00291BC0"/>
    <w:rsid w:val="00311DBE"/>
    <w:rsid w:val="003265CB"/>
    <w:rsid w:val="004366A8"/>
    <w:rsid w:val="00502BA7"/>
    <w:rsid w:val="005162F1"/>
    <w:rsid w:val="00535153"/>
    <w:rsid w:val="00554F82"/>
    <w:rsid w:val="0056390D"/>
    <w:rsid w:val="005719B0"/>
    <w:rsid w:val="005D10D6"/>
    <w:rsid w:val="00603A0B"/>
    <w:rsid w:val="00855E3A"/>
    <w:rsid w:val="0091457F"/>
    <w:rsid w:val="00922CB9"/>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3BFD691D"/>
    <w:rsid w:val="4D260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13</Pages>
  <Words>6585</Words>
  <Characters>6870</Characters>
  <Lines>49</Lines>
  <Paragraphs>13</Paragraphs>
  <TotalTime>1</TotalTime>
  <ScaleCrop>false</ScaleCrop>
  <LinksUpToDate>false</LinksUpToDate>
  <CharactersWithSpaces>6893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2023-11-23T04:43:00Z</dcterms:created>
  <dc:creator>赵 恺（预算处）</dc:creator>
  <cp:lastModifiedBy>华为</cp:lastModifiedBy>
  <cp:lastPrinted>2018-12-31T10:56:00Z</cp:lastPrinted>
  <dcterms:modified xsi:type="dcterms:W3CDTF">2025-02-07T11:53:35Z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3C655772BF2A4ED59EE3A634CC327F3F_12</vt:lpwstr>
  </property>
</Properties>
</file>