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昌吉州市场监督管理局2021年部门预算公开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昌吉州市场监督管理局概况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一、昌吉州市场监督管理局收支总体情况表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二、昌吉州市场监督管理局收入总体情况表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三、昌吉州市场监督管理局支出总体情况表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一、关于昌吉州市场监督管理局2021年收支预算情况的总体说明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二、关于昌吉州市场监督管理局2021年收入预算情况说明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三、关于昌吉州市场监督管理局2021年支出预算情况说明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昌吉州市场监督管理局2021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五、关于昌吉州市场监督管理局2021年一般公共预算当年拨款情况说明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六、关于昌吉州市场监督管理局2021年一般公共预算基本支出情况说明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七、关于昌吉州市场监督管理局2021年一般公共预算项目支出情况说明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八、关于昌吉州市场监督管理局2021年一般公共预算“三公”经费预算情况说明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九、关于昌吉州市场监督管理局2021年政府性基金预算拨款情况说明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昌吉州市场监督管理局单位概况</w:t>
      </w:r>
    </w:p>
    <w:p>
      <w:pPr>
        <w:widowControl/>
        <w:spacing w:line="480" w:lineRule="exact"/>
        <w:jc w:val="center"/>
        <w:outlineLvl w:val="1"/>
        <w:rPr>
          <w:rFonts w:ascii="宋体" w:hAnsi="宋体"/>
          <w:b/>
          <w:kern w:val="0"/>
          <w:sz w:val="32"/>
          <w:szCs w:val="32"/>
        </w:rPr>
      </w:pPr>
    </w:p>
    <w:p>
      <w:pPr>
        <w:widowControl/>
        <w:numPr>
          <w:ilvl w:val="0"/>
          <w:numId w:val="1"/>
        </w:numPr>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主要职能</w:t>
      </w:r>
    </w:p>
    <w:p>
      <w:pPr>
        <w:widowControl/>
        <w:spacing w:line="56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昌吉回族自治州市场监督管理局是自治州人民政府工作部门，为正处级，对外加挂自治州知识产权局、自治州市场监管综合执法队牌子。自治州市场监督管理局贯彻落实党中央关于市场监督管理、知识产权工作的方针政策和决策部署以及自治区、自治州党委工作要求，在履行职责过程中坚持和加强党对市场监督管理、综合执法、知识产权工作的集中统一领导。</w:t>
      </w:r>
    </w:p>
    <w:p>
      <w:pPr>
        <w:widowControl/>
        <w:spacing w:line="56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（一）负责市场综合监督管理和知识产权管理。贯彻执行国家、自治区市场监督管理和知识产权管理有关法律和规章，拟订有关规划，规范和维护市场秩序，营造诚实守信、公平竞争的市场环境。</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（二）负责市场主体统一登记注册。指导各类企业、农民专业合作社和从事经营活动的单位、个体工商户以及外国（地</w:t>
      </w:r>
      <w:bookmarkStart w:id="0" w:name="page3"/>
      <w:bookmarkEnd w:id="0"/>
      <w:r>
        <w:rPr>
          <w:rFonts w:hint="eastAsia" w:ascii="仿宋_GB2312" w:hAnsi="仿宋" w:eastAsia="仿宋_GB2312"/>
          <w:sz w:val="32"/>
          <w:szCs w:val="32"/>
        </w:rPr>
        <w:t>区）企业常驻代表机构等市场主体的登记注册。建立市场主体信息公示和共享机制，依法公示和共享有关信息，加强信用监管，推动市场主体信用体系建设。</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（三）负责组织和指导市场监管和知识产权综合执法工作。指导县（市）市场监管综合执法队伍整合和建设，推动实行统一的市场监管。组织查处较大违法案件。规范市场监管和知识产权行政执法行为。</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（四）根据委托、授权开展反垄断统一执法。</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五）负责集贸市场和个体工商户安全生产管理。负责监督管理市场秩序。依法监督管理市场交易，网络商品交易及有关服务的行为。组织指导查处价格收费违法违规、不正当竞争、违法直销、传销、侵犯商标专利知识产权和制售假冒伪劣商品行为。指导广告业发展，监督管理广告活动。指导查处无照生产经营和相关无证生产经营行为。指导自治州消费者协会开展消费维权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六）负责宏观质量管理。落实国家和自治区关于质量发展纲要的政策措施，拟订并实施质量发展规划和质量建设政策措施，推进质量发展工作，负责推进产品质量诚信体系建设，组织实施提高质量水平发展战略，推广先进的质量管理经验和方法，推进名牌发展战略，组织实施质量奖励制度。组织开展产品质量事故调查。</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（七）负责产品质量安全监督管理。管理产品质量监督抽查、风险监控工作。组织实施质量分级制度、质量安全追溯制</w:t>
      </w:r>
      <w:bookmarkStart w:id="1" w:name="page4"/>
      <w:bookmarkEnd w:id="1"/>
      <w:r>
        <w:rPr>
          <w:rFonts w:hint="eastAsia" w:ascii="仿宋_GB2312" w:hAnsi="仿宋" w:eastAsia="仿宋_GB2312"/>
          <w:sz w:val="32"/>
          <w:szCs w:val="32"/>
        </w:rPr>
        <w:t>度。指导工业产品生产许可管理。负责纤维质量监督工作。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（八）负责特种设备安全监督管理。综合管理特种设备安全监察、监督工作，监督检查高耗能特种设备节能标准和锅炉环境保护标准的执行情况。</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（九）负责食品安全监督管理综合协调。组织制定食品安全重大政策并组织实施。负责食品安全应急体系建设，组织指导较大食品安全事件应急处置和调查处理工作。建立健全食品安全重要信息直报制度。</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检查处置和风险预警、风险交流工作。组织实施特殊食品注册核查、备案和监督管理。</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（十一）负责统一管理计量工作。执行国家计量制度，推行国家法定计量单位，依法管理计量器具及量值传递和比对工作。规范、监督商品量和市场计量行为。</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二）负责统一管理标准化工作。负责对强制性标准的实施进行监督检查。推行采用国标标准和国外先进标准，受理企业产品备案。制定地方标准化工作规划、计划；指导本行政区域有关行政主管部门的标准化工作，协调和处理有关标准化工作问题；依法组织制定地方标准。</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（十三）负责统一管理检验检测工作。推进检验检测机构</w:t>
      </w:r>
      <w:bookmarkStart w:id="2" w:name="page5"/>
      <w:bookmarkEnd w:id="2"/>
      <w:r>
        <w:rPr>
          <w:rFonts w:hint="eastAsia" w:ascii="仿宋_GB2312" w:hAnsi="仿宋" w:eastAsia="仿宋_GB2312"/>
          <w:sz w:val="32"/>
          <w:szCs w:val="32"/>
        </w:rPr>
        <w:t>改革，规范检验检测市场，完善检验检测体系，指导协调检验检测行业发展。</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（十四）负责统一管理、监督和综合协调认证认可工作。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建立并组织实施统一的认证认可和合格评定监督管理制度。</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五）负责促进知识产权运用。拟订实施知识产权激励奖励制度、知识产权转化运用和交易运营政策措施。指导落实商标、专利、原产地地理标志申请的审查、确权相关前置服务工作。指导知识产权无形资产评估、审查评议工作。指导和促进知识产权服务业发展。统筹指导知识产权公共服务体系建设，推动知识产权信息传播利用。</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六）负责保护知识产权。拟订实施严格保护商标、专利、原产地地理标志等知识产权制度措施。研究提出知识产权保护体系建设方案并组织实施，推动建设知识产权保护体系。负责组织指导商标、专利执法工作，指导知识产权争议处理、维权援助和纠纷调处。组织指导知识产权预警和涉外保护工作。拟订实施鼓励新领域、新业态、新模式创新的知识产权保护、管理和服务政策。</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七）负责药品（含中药、民族药，下同）、医疗器械和化妆品安全监督管理。贯彻落实国家关于药品、医疗器械和化妆品监督管理的法律、法规、规章和政策，拟订地方性法规草案、政府规章草案，并组织实施。监督实施药品、医疗器械、化妆品相关标准和分类管理制度。参与实施国家基本药物制度。负责药品、医疗器械和化妆品质量管理。依职责监督实施生产、</w:t>
      </w:r>
      <w:bookmarkStart w:id="3" w:name="page6"/>
      <w:bookmarkEnd w:id="3"/>
      <w:r>
        <w:rPr>
          <w:rFonts w:hint="eastAsia" w:ascii="仿宋_GB2312" w:hAnsi="仿宋" w:eastAsia="仿宋_GB2312"/>
          <w:sz w:val="32"/>
          <w:szCs w:val="32"/>
        </w:rPr>
        <w:t>经营和使用质量管理规范。</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八）负责药品、化妆品不良反应和医疗器械不良事件监测工作。开展药物滥用监测。依法承担药品、医疗器械和化妆品安全应急管理。负责药品零售、医疗器械经营的许可备案，检查和处罚，以及化妆品经营、药品、医疗器械使用环节质量的检查和处罚。负责权限内药品、医疗器械和化妆品监督管理领域政策法规宣传、信息发布工作。推进信用体系建设。指导县（市）药品、医疗器械、化妆品监督管理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（十九）负责本系统科技与信息化建设、新闻宣传工作。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（二十）承担自治州食品安全委员会的具体工作。</w:t>
      </w:r>
    </w:p>
    <w:p>
      <w:pPr>
        <w:snapToGrid w:val="0"/>
        <w:spacing w:line="560" w:lineRule="exact"/>
        <w:ind w:firstLine="640" w:firstLineChars="200"/>
        <w:rPr>
          <w:rFonts w:ascii="仿宋_GB2312" w:hAnsi="宋体" w:eastAsia="仿宋_GB2312" w:cs="宋体"/>
          <w:bCs/>
          <w:kern w:val="0"/>
          <w:sz w:val="32"/>
          <w:szCs w:val="32"/>
        </w:rPr>
      </w:pPr>
      <w:r>
        <w:rPr>
          <w:rFonts w:hint="eastAsia" w:ascii="仿宋_GB2312" w:hAnsi="仿宋" w:eastAsia="仿宋_GB2312"/>
          <w:sz w:val="32"/>
          <w:szCs w:val="32"/>
        </w:rPr>
        <w:t>（二十一）完成自治州党委、自治州人民政府交办的其他任务。</w:t>
      </w:r>
      <w:r>
        <w:rPr>
          <w:rFonts w:hint="eastAsia" w:ascii="仿宋_GB2312" w:hAnsi="宋体" w:eastAsia="仿宋_GB2312" w:cs="宋体"/>
          <w:bCs/>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ascii="仿宋_GB2312" w:hAnsi="仿宋" w:eastAsia="仿宋_GB2312"/>
          <w:sz w:val="32"/>
          <w:szCs w:val="32"/>
        </w:rPr>
      </w:pPr>
      <w:r>
        <w:rPr>
          <w:rFonts w:hint="eastAsia" w:ascii="仿宋_GB2312" w:hAnsi="宋体" w:eastAsia="仿宋_GB2312" w:cs="宋体"/>
          <w:kern w:val="0"/>
          <w:sz w:val="32"/>
          <w:szCs w:val="32"/>
        </w:rPr>
        <w:t xml:space="preserve">    </w:t>
      </w:r>
      <w:r>
        <w:rPr>
          <w:rFonts w:hint="eastAsia" w:ascii="仿宋_GB2312" w:hAnsi="仿宋" w:eastAsia="仿宋_GB2312"/>
          <w:sz w:val="32"/>
          <w:szCs w:val="32"/>
        </w:rPr>
        <w:t>昌吉州市场监督管理局无下属预算单位，下设1个派出机构：准东经济技术开发区分局，1个事业机构：机关服务中心，21个内设机构，分别是：办公室、组织人事科、法规科（执法稽查科）、行政审批与登记注册科、信用监督管理与消费者权益保护科、价格监督检查与反垄断和反不正当竞争科（规范直销与打击传销办公室）、科技信息化与网络交易监管科、广告监督管理与标准化科、质量发展科、产品质量安全监督管理科、应急安全协调科、食品生产安全监督管理科、食品经营安全监督管理科、药品化妆品医疗器械安全监督管理科、特种设备安全监察科、计量与认证认可监督管理科、知识产权促进保护科、计划财务审计科、执法一科、执法二科、执法三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昌吉州市场监督管理局编制数116人，实有人数245人，其中：在职130人，增加34人； 退休113人，增加17人；离休2人，增加0人。</w:t>
      </w:r>
    </w:p>
    <w:p>
      <w:pPr>
        <w:widowControl/>
        <w:spacing w:line="560" w:lineRule="exact"/>
        <w:jc w:val="center"/>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昌吉州市场监督管理局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2785.21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2365.94</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2785.21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175.80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243.47</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2785.21</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2785.21</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编制部门（单位）：昌吉州市场监督管理局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2075"/>
        <w:gridCol w:w="900"/>
        <w:gridCol w:w="855"/>
        <w:gridCol w:w="592"/>
        <w:gridCol w:w="795"/>
        <w:gridCol w:w="833"/>
        <w:gridCol w:w="748"/>
        <w:gridCol w:w="708"/>
        <w:gridCol w:w="684"/>
      </w:tblGrid>
      <w:tr>
        <w:tblPrEx>
          <w:tblLayout w:type="fixed"/>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207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90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59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83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74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207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0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59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3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4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07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90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1743.94</w:t>
            </w:r>
          </w:p>
        </w:tc>
        <w:tc>
          <w:tcPr>
            <w:tcW w:w="85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1743.94</w:t>
            </w:r>
          </w:p>
        </w:tc>
        <w:tc>
          <w:tcPr>
            <w:tcW w:w="592"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0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65</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65</w:t>
            </w:r>
          </w:p>
        </w:tc>
        <w:tc>
          <w:tcPr>
            <w:tcW w:w="5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0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机关服务</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85</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85</w:t>
            </w:r>
          </w:p>
        </w:tc>
        <w:tc>
          <w:tcPr>
            <w:tcW w:w="5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0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市场秩序执法</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115</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115</w:t>
            </w:r>
          </w:p>
        </w:tc>
        <w:tc>
          <w:tcPr>
            <w:tcW w:w="5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20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质量基础</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55</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55</w:t>
            </w:r>
          </w:p>
        </w:tc>
        <w:tc>
          <w:tcPr>
            <w:tcW w:w="5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w:t>
            </w:r>
          </w:p>
        </w:tc>
        <w:tc>
          <w:tcPr>
            <w:tcW w:w="20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质量安全监管</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60</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60</w:t>
            </w:r>
          </w:p>
        </w:tc>
        <w:tc>
          <w:tcPr>
            <w:tcW w:w="5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0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其他市场监督管理事务</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242</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242</w:t>
            </w:r>
          </w:p>
        </w:tc>
        <w:tc>
          <w:tcPr>
            <w:tcW w:w="5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0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175.80</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175.8</w:t>
            </w:r>
          </w:p>
        </w:tc>
        <w:tc>
          <w:tcPr>
            <w:tcW w:w="5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0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183.58</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183.58</w:t>
            </w:r>
          </w:p>
        </w:tc>
        <w:tc>
          <w:tcPr>
            <w:tcW w:w="5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0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59.36</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59.36</w:t>
            </w:r>
          </w:p>
        </w:tc>
        <w:tc>
          <w:tcPr>
            <w:tcW w:w="5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0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0.53</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0.53</w:t>
            </w:r>
          </w:p>
        </w:tc>
        <w:tc>
          <w:tcPr>
            <w:tcW w:w="5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0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9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2785.21</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2785.21</w:t>
            </w:r>
          </w:p>
        </w:tc>
        <w:tc>
          <w:tcPr>
            <w:tcW w:w="5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编制部门（单位）：昌吉州市场监督管理局                        单位：万元</w:t>
      </w:r>
    </w:p>
    <w:tbl>
      <w:tblPr>
        <w:tblStyle w:val="6"/>
        <w:tblW w:w="9420" w:type="dxa"/>
        <w:tblInd w:w="-240" w:type="dxa"/>
        <w:tblLayout w:type="fixed"/>
        <w:tblCellMar>
          <w:top w:w="0" w:type="dxa"/>
          <w:left w:w="108" w:type="dxa"/>
          <w:bottom w:w="0" w:type="dxa"/>
          <w:right w:w="108" w:type="dxa"/>
        </w:tblCellMar>
      </w:tblPr>
      <w:tblGrid>
        <w:gridCol w:w="506"/>
        <w:gridCol w:w="405"/>
        <w:gridCol w:w="510"/>
        <w:gridCol w:w="238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trHeight w:val="480" w:hRule="atLeast"/>
        </w:trPr>
        <w:tc>
          <w:tcPr>
            <w:tcW w:w="142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38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65" w:hRule="atLeast"/>
        </w:trPr>
        <w:tc>
          <w:tcPr>
            <w:tcW w:w="50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38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201</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38</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38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行政运行</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1743.94</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1743.94</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201</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38</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238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一般行政管理事务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w:t>
            </w: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201</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38</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38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机关服务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85</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85</w:t>
            </w: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201</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38</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38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市场秩序执法</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115</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115</w:t>
            </w: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201</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38</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10</w:t>
            </w:r>
          </w:p>
        </w:tc>
        <w:tc>
          <w:tcPr>
            <w:tcW w:w="238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质量基础</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w:t>
            </w: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201</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38</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15</w:t>
            </w:r>
          </w:p>
        </w:tc>
        <w:tc>
          <w:tcPr>
            <w:tcW w:w="238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质量安全监管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w:t>
            </w: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201</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38</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38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其他市场监督管理事务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242</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242</w:t>
            </w: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38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175.8</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175.8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38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行政单位医疗</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183.58</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183.58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38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59.36</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59.36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38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其他行政事业单位医疗支出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0.53</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0.53</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390" w:hRule="atLeast"/>
        </w:trPr>
        <w:tc>
          <w:tcPr>
            <w:tcW w:w="50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06"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5"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3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2785.21</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2163.21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622</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编制部门（单位）：昌吉州市场监督管理局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2785.21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2365.94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2365.94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2785.21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175.8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175.8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243.47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243.47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2785.21</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2785.21</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2785.21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367" w:hRule="atLeast"/>
        </w:trPr>
        <w:tc>
          <w:tcPr>
            <w:tcW w:w="5887" w:type="dxa"/>
            <w:gridSpan w:val="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编制部门（单位）：昌吉州市场监督管理局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38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行政运行</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1743.94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1743.94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18"/>
                <w:szCs w:val="18"/>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一般行政管理事务</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机关服务</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市场秩序执法</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质量基础</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质量安全监管</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其他市场监督管理事务</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242</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175.8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175.8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行政单位医疗</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183.58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183.58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59.36</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59.36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其他行政事业单位医疗支出</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0.53</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2785.21</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2163.21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622</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1701"/>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6902"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编制部门（单位）：昌吉州市场监督管理局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基本工资</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689.78</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689.78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02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津贴补贴</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334.52</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334.52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03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奖金</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48.02</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48.02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06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伙食补助费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163.8</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163.8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07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绩效工资</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39.45</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39.45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08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机关事业单位基本养老保险缴费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175.8</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175.8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10</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职工基本医疗保险缴费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183.58</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183.58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公务员医疗补助缴费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59.36</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59.36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其他社会保障缴费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0.53</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0.53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住房公积金</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131.85</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131.85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办公费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19.6</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19.6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咨询费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2.5</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2.5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05</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水费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3.5</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电费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16</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邮电费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8.6</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8.6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取暖费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60</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60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物业管理费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8</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差旅费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4</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维修(护)费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7</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7</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培训费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2</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公务接待费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专用材料费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5</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26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劳务费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23</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23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28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工会经费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13.8</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13.8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29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福利费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31.73</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31.73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公务车运行维护费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30.86</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30.86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其他交通费用</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8</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99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其他商品和服务支出</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33.05</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33.05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离休费</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24.17</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24.17</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05</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生活补助</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1.5</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1.5</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奖励金</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12.61</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12.61</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14</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采暖补贴（离退休）</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11.5</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11.5</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b/>
                <w:bCs/>
                <w:color w:val="000000"/>
                <w:kern w:val="0"/>
                <w:sz w:val="24"/>
              </w:rPr>
            </w:pP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b/>
                <w:bCs/>
                <w:color w:val="000000"/>
                <w:kern w:val="0"/>
                <w:sz w:val="24"/>
              </w:rPr>
            </w:pP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b/>
                <w:bCs/>
                <w:color w:val="000000"/>
                <w:kern w:val="0"/>
                <w:sz w:val="24"/>
              </w:rPr>
            </w:pP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b/>
                <w:bCs/>
                <w:color w:val="000000"/>
                <w:kern w:val="0"/>
                <w:sz w:val="24"/>
              </w:rPr>
            </w:pP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b/>
                <w:bCs/>
                <w:color w:val="000000"/>
                <w:kern w:val="0"/>
                <w:sz w:val="24"/>
              </w:rPr>
            </w:pP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b/>
                <w:bCs/>
                <w:color w:val="000000"/>
                <w:kern w:val="0"/>
                <w:sz w:val="24"/>
              </w:rPr>
            </w:pP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b/>
                <w:bCs/>
                <w:color w:val="000000"/>
                <w:kern w:val="0"/>
                <w:sz w:val="24"/>
              </w:rPr>
            </w:pP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合  计</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2163.21</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1883.57</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279.64</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0" w:type="dxa"/>
        <w:tblInd w:w="-360" w:type="dxa"/>
        <w:tblLayout w:type="fixed"/>
        <w:tblCellMar>
          <w:top w:w="0" w:type="dxa"/>
          <w:left w:w="108" w:type="dxa"/>
          <w:bottom w:w="0" w:type="dxa"/>
          <w:right w:w="108" w:type="dxa"/>
        </w:tblCellMar>
      </w:tblPr>
      <w:tblGrid>
        <w:gridCol w:w="8"/>
        <w:gridCol w:w="528"/>
        <w:gridCol w:w="405"/>
        <w:gridCol w:w="465"/>
        <w:gridCol w:w="636"/>
        <w:gridCol w:w="1456"/>
        <w:gridCol w:w="750"/>
        <w:gridCol w:w="56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7027" w:type="dxa"/>
            <w:gridSpan w:val="11"/>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编制部门（单位）：昌吉州市场监督管理局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406"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636"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36"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05"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65"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636"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38</w:t>
            </w:r>
          </w:p>
        </w:tc>
        <w:tc>
          <w:tcPr>
            <w:tcW w:w="46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6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昌吉州市场监督管理局法制宣传工作经费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35</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35</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38</w:t>
            </w:r>
          </w:p>
        </w:tc>
        <w:tc>
          <w:tcPr>
            <w:tcW w:w="46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6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昌吉州市场监督管理局食品药品专项经费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38</w:t>
            </w:r>
          </w:p>
        </w:tc>
        <w:tc>
          <w:tcPr>
            <w:tcW w:w="46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03</w:t>
            </w:r>
          </w:p>
        </w:tc>
        <w:tc>
          <w:tcPr>
            <w:tcW w:w="6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机关服务</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昌吉州市场监督管理局综合大楼管理经费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85</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85</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38</w:t>
            </w:r>
          </w:p>
        </w:tc>
        <w:tc>
          <w:tcPr>
            <w:tcW w:w="46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05</w:t>
            </w:r>
          </w:p>
        </w:tc>
        <w:tc>
          <w:tcPr>
            <w:tcW w:w="6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市场秩序执法</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昌吉州市场监督管理局市场监管业务经费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115</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115</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38</w:t>
            </w:r>
          </w:p>
        </w:tc>
        <w:tc>
          <w:tcPr>
            <w:tcW w:w="46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质量基础</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昌吉州市场监督管理局认证认可标准化监管经费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55</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55</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38</w:t>
            </w:r>
          </w:p>
        </w:tc>
        <w:tc>
          <w:tcPr>
            <w:tcW w:w="46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6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质量安全监管</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昌吉州市场监督管理局产品质量监管经费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38</w:t>
            </w:r>
          </w:p>
        </w:tc>
        <w:tc>
          <w:tcPr>
            <w:tcW w:w="46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6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质量安全监管</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昌吉州市场监督管理局特种设备安全监管经费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38</w:t>
            </w:r>
          </w:p>
        </w:tc>
        <w:tc>
          <w:tcPr>
            <w:tcW w:w="46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6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其他市场监督管理事务</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“阳光食品”PPP项目财政补贴资金</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182</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182</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38</w:t>
            </w:r>
          </w:p>
        </w:tc>
        <w:tc>
          <w:tcPr>
            <w:tcW w:w="46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6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其他市场监督管理事务</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昌吉州市场监督管理局知识产权管理与综合执法经费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0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38</w:t>
            </w:r>
          </w:p>
        </w:tc>
        <w:tc>
          <w:tcPr>
            <w:tcW w:w="46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6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其他市场监督管理事务</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昌吉州市场监督管理局执法办案经费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6" w:type="dxa"/>
            <w:gridSpan w:val="2"/>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636"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6" w:type="dxa"/>
            <w:gridSpan w:val="2"/>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636"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6" w:type="dxa"/>
            <w:gridSpan w:val="2"/>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636"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6" w:type="dxa"/>
            <w:gridSpan w:val="2"/>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636"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6" w:type="dxa"/>
            <w:gridSpan w:val="2"/>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636"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622</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622</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昌吉州市场监督管理局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33.86</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30.86</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30.86</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编制部门（单位）：昌吉州市场监督管理局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2021年昌吉州市场监督管理局预算情况说明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昌吉州市场监督管理局2021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按照全口径预算的原则，昌吉州市场监督管理局2021年所有收入和支出均纳入部门（单位）预算管理。收支总预算2785.21万元。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支出预算包括：一般公共服务支出、社会保障和就业支出、卫生健康支出。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昌吉州市场监督管理局2021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昌吉州市场监督管理局收入预算2785.21万元，其中：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一般公共预算2785.21万元，占100%，比上年增加435.40万元，主要原因是：</w:t>
      </w:r>
      <w:r>
        <w:rPr>
          <w:rFonts w:hint="eastAsia" w:ascii="仿宋_GB2312" w:hAnsi="仿宋_GB2312" w:eastAsia="仿宋_GB2312" w:cs="仿宋_GB2312"/>
          <w:sz w:val="32"/>
          <w:szCs w:val="32"/>
        </w:rPr>
        <w:t>因机构合并，自2021年起并入原昌吉州质量技术监督稽查队、昌吉州食品药品安全稽查支队。</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昌吉州市场监督管理局2021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昌吉州市场监督管理局2021年支出预算2785.21万元，其中：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基本支出2163.21万元，占77.67%，比上年增加270.40万元，主要原因是：</w:t>
      </w:r>
      <w:r>
        <w:rPr>
          <w:rFonts w:hint="eastAsia" w:ascii="仿宋_GB2312" w:hAnsi="仿宋_GB2312" w:eastAsia="仿宋_GB2312" w:cs="仿宋_GB2312"/>
          <w:sz w:val="32"/>
          <w:szCs w:val="32"/>
        </w:rPr>
        <w:t>因机构合并，自2021年起并入原昌吉州质量技术监督稽查队、昌吉州食品药品安全稽查支队</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项目支出622万元，占22.33%，比上年增加165万元，主要原因是：</w:t>
      </w:r>
      <w:r>
        <w:rPr>
          <w:rFonts w:hint="eastAsia" w:ascii="仿宋_GB2312" w:hAnsi="仿宋_GB2312" w:eastAsia="仿宋_GB2312" w:cs="仿宋_GB2312"/>
          <w:sz w:val="32"/>
          <w:szCs w:val="32"/>
        </w:rPr>
        <w:t>因机构合并，自2021年起并入原昌吉州质量技术监督稽查队、昌吉州食品药品安全稽查支队两个单位，增加执法办案经费30万元；“阳光食品”PPP项目财政补贴资金182万元纳入年初预算</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昌吉州市场监督管理局2021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2021年财政拨款收支总预算2785.21万元。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收入预算包括：一般公共预算拨款2785.21万元。</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一般公共预算支出包括：一般公共服务支出2365.94万元，主要用于市场监督管理事务中工资福利支出、公用经费、其他商品和服务支出及专项业务支出；</w:t>
      </w:r>
      <w:r>
        <w:rPr>
          <w:rFonts w:hint="eastAsia" w:ascii="仿宋_GB2312" w:hAnsi="宋体" w:eastAsia="仿宋_GB2312" w:cs="宋体"/>
          <w:kern w:val="0"/>
          <w:sz w:val="32"/>
          <w:szCs w:val="32"/>
        </w:rPr>
        <w:t>社会保障和就业支出175.80万元，主要用于机关事业单位基本养老保险缴费支出；医疗卫生健康支出243.47万元，主要用于行政事业单位基本医疗保险缴费、公务员医疗补助、其他行政事业单位医疗支出。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昌吉州市场监督管理局2021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昌吉州市场监督管理局2021年一般公共预算拨款合计2785.21万元，其中：基本支出2163.21万元，比上年预算增加270.40万元，增长14.28%。主要原因是：</w:t>
      </w:r>
      <w:r>
        <w:rPr>
          <w:rFonts w:hint="eastAsia" w:ascii="仿宋_GB2312" w:hAnsi="仿宋_GB2312" w:eastAsia="仿宋_GB2312" w:cs="仿宋_GB2312"/>
          <w:sz w:val="32"/>
          <w:szCs w:val="32"/>
        </w:rPr>
        <w:t>因机构合并，自2021年起并入原昌吉州质量技术监督稽查队、昌吉州食品药品安全稽查支队</w:t>
      </w:r>
      <w:r>
        <w:rPr>
          <w:rFonts w:hint="eastAsia" w:ascii="仿宋_GB2312" w:hAnsi="宋体" w:eastAsia="仿宋_GB2312" w:cs="宋体"/>
          <w:kern w:val="0"/>
          <w:sz w:val="32"/>
          <w:szCs w:val="32"/>
        </w:rPr>
        <w:t>。项目支出622万元，比上年预算增加165万元，增长36.10%。主要原因是：</w:t>
      </w:r>
      <w:r>
        <w:rPr>
          <w:rFonts w:hint="eastAsia" w:ascii="仿宋_GB2312" w:hAnsi="仿宋_GB2312" w:eastAsia="仿宋_GB2312" w:cs="仿宋_GB2312"/>
          <w:sz w:val="32"/>
          <w:szCs w:val="32"/>
        </w:rPr>
        <w:t>因机构合并，自2021年起并入原昌吉州质量技术监督稽查队、昌吉州食品药品安全稽查支队两个单位，增加执法办案经费30万元；“阳光食品”PPP项目财政补贴资金182万元纳入年初预算</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1.一般公共服务支出2365.94万元，占84.95%，</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2.社会保障和就业支出175.80万元，</w:t>
      </w:r>
      <w:r>
        <w:rPr>
          <w:rFonts w:hint="eastAsia" w:ascii="仿宋_GB2312" w:eastAsia="仿宋_GB2312"/>
          <w:sz w:val="32"/>
          <w:szCs w:val="32"/>
        </w:rPr>
        <w:t>占6.31%，</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3.卫生健康支出243.47万元，占8.74%。</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38</w:t>
      </w:r>
      <w:r>
        <w:rPr>
          <w:rFonts w:ascii="仿宋_GB2312" w:hAnsi="宋体" w:eastAsia="仿宋_GB2312" w:cs="宋体"/>
          <w:kern w:val="0"/>
          <w:sz w:val="32"/>
          <w:szCs w:val="32"/>
        </w:rPr>
        <w:t>款）行政运行（</w:t>
      </w:r>
      <w:r>
        <w:rPr>
          <w:rFonts w:hint="eastAsia" w:ascii="仿宋_GB2312" w:hAnsi="宋体" w:eastAsia="仿宋_GB2312" w:cs="宋体"/>
          <w:kern w:val="0"/>
          <w:sz w:val="32"/>
          <w:szCs w:val="32"/>
        </w:rPr>
        <w:t>01</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1743.94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比上年预算数减少148.87万元，下降7.87%，</w:t>
      </w:r>
      <w:r>
        <w:rPr>
          <w:rFonts w:hint="eastAsia" w:ascii="仿宋_GB2312" w:hAnsi="宋体" w:eastAsia="仿宋_GB2312" w:cs="宋体"/>
          <w:color w:val="000000" w:themeColor="text1"/>
          <w:kern w:val="0"/>
          <w:sz w:val="32"/>
          <w:szCs w:val="32"/>
          <w14:textFill>
            <w14:solidFill>
              <w14:schemeClr w14:val="tx1"/>
            </w14:solidFill>
          </w14:textFill>
        </w:rPr>
        <w:t>主要原因是：今年预算将养老保险缴费、</w:t>
      </w:r>
      <w:r>
        <w:rPr>
          <w:rFonts w:hint="eastAsia" w:ascii="仿宋_GB2312" w:hAnsi="宋体" w:eastAsia="仿宋_GB2312" w:cs="宋体"/>
          <w:kern w:val="0"/>
          <w:sz w:val="32"/>
          <w:szCs w:val="32"/>
        </w:rPr>
        <w:t>机关单位医疗、公务员医疗补助、其他行政事业单位医疗支出</w:t>
      </w:r>
      <w:r>
        <w:rPr>
          <w:rFonts w:hint="eastAsia" w:ascii="仿宋_GB2312" w:hAnsi="宋体" w:eastAsia="仿宋_GB2312" w:cs="宋体"/>
          <w:color w:val="000000" w:themeColor="text1"/>
          <w:kern w:val="0"/>
          <w:sz w:val="32"/>
          <w:szCs w:val="32"/>
          <w14:textFill>
            <w14:solidFill>
              <w14:schemeClr w14:val="tx1"/>
            </w14:solidFill>
          </w14:textFill>
        </w:rPr>
        <w:t>从一般公共服务支出中分离出来，单独列示。</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38</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02</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比上年预算数增加0万元，增长0%，主</w:t>
      </w:r>
      <w:r>
        <w:rPr>
          <w:rFonts w:hint="eastAsia" w:ascii="仿宋_GB2312" w:hAnsi="宋体" w:eastAsia="仿宋_GB2312" w:cs="宋体"/>
          <w:color w:val="000000" w:themeColor="text1"/>
          <w:kern w:val="0"/>
          <w:sz w:val="32"/>
          <w:szCs w:val="32"/>
          <w14:textFill>
            <w14:solidFill>
              <w14:schemeClr w14:val="tx1"/>
            </w14:solidFill>
          </w14:textFill>
        </w:rPr>
        <w:t>要原因是：</w:t>
      </w:r>
      <w:r>
        <w:rPr>
          <w:rFonts w:hint="eastAsia" w:ascii="仿宋_GB2312" w:hAnsi="仿宋_GB2312" w:eastAsia="仿宋_GB2312" w:cs="仿宋_GB2312"/>
          <w:color w:val="000000" w:themeColor="text1"/>
          <w:sz w:val="32"/>
          <w:szCs w:val="32"/>
          <w14:textFill>
            <w14:solidFill>
              <w14:schemeClr w14:val="tx1"/>
            </w14:solidFill>
          </w14:textFill>
        </w:rPr>
        <w:t>市场监督管理法制宣传、食品药品安全监管工作无变动。</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38</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一机关服务（03</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85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比上年预算数增加40万元，增长88.89%，主要原因</w:t>
      </w:r>
      <w:r>
        <w:rPr>
          <w:rFonts w:hint="eastAsia" w:ascii="仿宋_GB2312" w:hAnsi="宋体" w:eastAsia="仿宋_GB2312" w:cs="宋体"/>
          <w:color w:val="000000" w:themeColor="text1"/>
          <w:kern w:val="0"/>
          <w:sz w:val="32"/>
          <w:szCs w:val="32"/>
          <w14:textFill>
            <w14:solidFill>
              <w14:schemeClr w14:val="tx1"/>
            </w14:solidFill>
          </w14:textFill>
        </w:rPr>
        <w:t>是：</w:t>
      </w:r>
      <w:r>
        <w:rPr>
          <w:rFonts w:hint="eastAsia" w:ascii="仿宋_GB2312" w:hAnsi="仿宋_GB2312" w:eastAsia="仿宋_GB2312" w:cs="仿宋_GB2312"/>
          <w:color w:val="000000" w:themeColor="text1"/>
          <w:sz w:val="32"/>
          <w:szCs w:val="32"/>
          <w14:textFill>
            <w14:solidFill>
              <w14:schemeClr w14:val="tx1"/>
            </w14:solidFill>
          </w14:textFill>
        </w:rPr>
        <w:t>将综合大楼物业全部纳入州市场监督管理局统一管理，直属4个事业单位不安排预算。按照公开招标中标结果将综合大楼物业管理费纳入年初预算。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000000" w:themeColor="text1"/>
          <w:kern w:val="0"/>
          <w:sz w:val="32"/>
          <w:szCs w:val="32"/>
          <w14:textFill>
            <w14:solidFill>
              <w14:schemeClr w14:val="tx1"/>
            </w14:solidFill>
          </w14:textFill>
        </w:rPr>
        <w:t>4.</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38</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市场秩序执法</w:t>
      </w:r>
      <w:r>
        <w:rPr>
          <w:rFonts w:ascii="仿宋_GB2312" w:hAnsi="宋体" w:eastAsia="仿宋_GB2312" w:cs="宋体"/>
          <w:kern w:val="0"/>
          <w:sz w:val="32"/>
          <w:szCs w:val="32"/>
        </w:rPr>
        <w:t>（</w:t>
      </w:r>
      <w:r>
        <w:rPr>
          <w:rFonts w:hint="eastAsia" w:ascii="仿宋_GB2312" w:hAnsi="宋体" w:eastAsia="仿宋_GB2312" w:cs="宋体"/>
          <w:kern w:val="0"/>
          <w:sz w:val="32"/>
          <w:szCs w:val="32"/>
        </w:rPr>
        <w:t>05</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115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比上年预算数增加0万元，增长0%，主要原因是：市场秩序执法工作无变动。</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5.</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38</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质量基础</w:t>
      </w:r>
      <w:r>
        <w:rPr>
          <w:rFonts w:ascii="仿宋_GB2312" w:hAnsi="宋体" w:eastAsia="仿宋_GB2312" w:cs="宋体"/>
          <w:kern w:val="0"/>
          <w:sz w:val="32"/>
          <w:szCs w:val="32"/>
        </w:rPr>
        <w:t>（</w:t>
      </w:r>
      <w:r>
        <w:rPr>
          <w:rFonts w:hint="eastAsia" w:ascii="仿宋_GB2312" w:hAnsi="宋体" w:eastAsia="仿宋_GB2312" w:cs="宋体"/>
          <w:kern w:val="0"/>
          <w:sz w:val="32"/>
          <w:szCs w:val="32"/>
        </w:rPr>
        <w:t>10</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55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w:t>
      </w:r>
      <w:r>
        <w:rPr>
          <w:rFonts w:hint="eastAsia" w:ascii="仿宋_GB2312" w:hAnsi="宋体" w:eastAsia="仿宋_GB2312" w:cs="宋体"/>
          <w:color w:val="000000" w:themeColor="text1"/>
          <w:kern w:val="0"/>
          <w:sz w:val="32"/>
          <w:szCs w:val="32"/>
          <w14:textFill>
            <w14:solidFill>
              <w14:schemeClr w14:val="tx1"/>
            </w14:solidFill>
          </w14:textFill>
        </w:rPr>
        <w:t>少10万元，下降15.38%，主要原因是：根据上年业务工作开展情况，调减</w:t>
      </w:r>
      <w:r>
        <w:rPr>
          <w:rFonts w:hint="eastAsia" w:ascii="仿宋_GB2312" w:hAnsi="仿宋_GB2312" w:eastAsia="仿宋_GB2312" w:cs="仿宋_GB2312"/>
          <w:color w:val="000000" w:themeColor="text1"/>
          <w:sz w:val="32"/>
          <w:szCs w:val="32"/>
          <w14:textFill>
            <w14:solidFill>
              <w14:schemeClr w14:val="tx1"/>
            </w14:solidFill>
          </w14:textFill>
        </w:rPr>
        <w:t>认证认可标准化监管工作经费10万元。</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宋体" w:eastAsia="仿宋_GB2312" w:cs="宋体"/>
          <w:kern w:val="0"/>
          <w:sz w:val="32"/>
          <w:szCs w:val="32"/>
        </w:rPr>
        <w:t>6.</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38</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质量安全监管</w:t>
      </w:r>
      <w:r>
        <w:rPr>
          <w:rFonts w:ascii="仿宋_GB2312" w:hAnsi="宋体" w:eastAsia="仿宋_GB2312" w:cs="宋体"/>
          <w:kern w:val="0"/>
          <w:sz w:val="32"/>
          <w:szCs w:val="32"/>
        </w:rPr>
        <w:t>（</w:t>
      </w:r>
      <w:r>
        <w:rPr>
          <w:rFonts w:hint="eastAsia" w:ascii="仿宋_GB2312" w:hAnsi="宋体" w:eastAsia="仿宋_GB2312" w:cs="宋体"/>
          <w:kern w:val="0"/>
          <w:sz w:val="32"/>
          <w:szCs w:val="32"/>
        </w:rPr>
        <w:t>15</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w:t>
      </w:r>
      <w:r>
        <w:rPr>
          <w:rFonts w:hint="eastAsia" w:ascii="仿宋_GB2312" w:hAnsi="宋体" w:eastAsia="仿宋_GB2312" w:cs="宋体"/>
          <w:color w:val="000000" w:themeColor="text1"/>
          <w:kern w:val="0"/>
          <w:sz w:val="32"/>
          <w:szCs w:val="32"/>
          <w14:textFill>
            <w14:solidFill>
              <w14:schemeClr w14:val="tx1"/>
            </w14:solidFill>
          </w14:textFill>
        </w:rPr>
        <w:t>算数减少27万元，下降31.03%，主</w:t>
      </w:r>
      <w:r>
        <w:rPr>
          <w:rFonts w:hint="eastAsia" w:ascii="仿宋_GB2312" w:hAnsi="宋体" w:eastAsia="仿宋_GB2312" w:cs="宋体"/>
          <w:kern w:val="0"/>
          <w:sz w:val="32"/>
          <w:szCs w:val="32"/>
        </w:rPr>
        <w:t>要原</w:t>
      </w:r>
      <w:r>
        <w:rPr>
          <w:rFonts w:hint="eastAsia" w:ascii="仿宋_GB2312" w:hAnsi="宋体" w:eastAsia="仿宋_GB2312" w:cs="宋体"/>
          <w:color w:val="000000" w:themeColor="text1"/>
          <w:kern w:val="0"/>
          <w:sz w:val="32"/>
          <w:szCs w:val="32"/>
          <w14:textFill>
            <w14:solidFill>
              <w14:schemeClr w14:val="tx1"/>
            </w14:solidFill>
          </w14:textFill>
        </w:rPr>
        <w:t>因是：根据上年业务工作开展情况，调减</w:t>
      </w:r>
      <w:r>
        <w:rPr>
          <w:rFonts w:hint="eastAsia" w:ascii="仿宋_GB2312" w:hAnsi="仿宋_GB2312" w:eastAsia="仿宋_GB2312" w:cs="仿宋_GB2312"/>
          <w:color w:val="000000" w:themeColor="text1"/>
          <w:sz w:val="32"/>
          <w:szCs w:val="32"/>
          <w14:textFill>
            <w14:solidFill>
              <w14:schemeClr w14:val="tx1"/>
            </w14:solidFill>
          </w14:textFill>
        </w:rPr>
        <w:t>产品质量监管工作经费17万元，</w:t>
      </w:r>
      <w:r>
        <w:rPr>
          <w:rFonts w:hint="eastAsia" w:ascii="仿宋_GB2312" w:hAnsi="宋体" w:eastAsia="仿宋_GB2312" w:cs="宋体"/>
          <w:color w:val="000000" w:themeColor="text1"/>
          <w:kern w:val="0"/>
          <w:sz w:val="32"/>
          <w:szCs w:val="32"/>
          <w14:textFill>
            <w14:solidFill>
              <w14:schemeClr w14:val="tx1"/>
            </w14:solidFill>
          </w14:textFill>
        </w:rPr>
        <w:t>调减</w:t>
      </w:r>
      <w:r>
        <w:rPr>
          <w:rFonts w:hint="eastAsia" w:ascii="仿宋_GB2312" w:hAnsi="仿宋_GB2312" w:eastAsia="仿宋_GB2312" w:cs="仿宋_GB2312"/>
          <w:color w:val="000000" w:themeColor="text1"/>
          <w:sz w:val="32"/>
          <w:szCs w:val="32"/>
          <w14:textFill>
            <w14:solidFill>
              <w14:schemeClr w14:val="tx1"/>
            </w14:solidFill>
          </w14:textFill>
        </w:rPr>
        <w:t>特种设备安全监管工作经费10万元。</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宋体" w:eastAsia="仿宋_GB2312" w:cs="宋体"/>
          <w:kern w:val="0"/>
          <w:sz w:val="32"/>
          <w:szCs w:val="32"/>
        </w:rPr>
        <w:t>7.</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38</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其他市场监督管理事务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99</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242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比上年预算数增加162万元，增长202.50%，主要原因是：</w:t>
      </w:r>
      <w:r>
        <w:rPr>
          <w:rFonts w:hint="eastAsia" w:ascii="仿宋_GB2312" w:hAnsi="仿宋_GB2312" w:eastAsia="仿宋_GB2312" w:cs="仿宋_GB2312"/>
          <w:color w:val="000000" w:themeColor="text1"/>
          <w:sz w:val="32"/>
          <w:szCs w:val="32"/>
          <w14:textFill>
            <w14:solidFill>
              <w14:schemeClr w14:val="tx1"/>
            </w14:solidFill>
          </w14:textFill>
        </w:rPr>
        <w:t>因机构合并，自2021年起并入原昌吉州质量技术监督稽查队、昌吉州食品药品安全稽查支队两个单位，增加执法办案经费30万元；“阳光食品”PPP项目财政补贴资金182万元纳入年初预算；根据上年业务工作开展情况，调减知识产权管理与综合执法经费50万元,由财政根据相关文件精神直接分配至各县市。</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8.</w:t>
      </w:r>
      <w:r>
        <w:rPr>
          <w:rFonts w:hint="eastAsia" w:ascii="仿宋_GB2312" w:hAnsi="宋体" w:eastAsia="仿宋_GB2312" w:cs="宋体"/>
          <w:kern w:val="0"/>
          <w:sz w:val="32"/>
          <w:szCs w:val="32"/>
        </w:rPr>
        <w:t>社会保障和就业支出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208</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行政事业单位养老支出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05</w:t>
      </w:r>
      <w:r>
        <w:rPr>
          <w:rFonts w:ascii="仿宋_GB2312" w:hAnsi="宋体" w:eastAsia="仿宋_GB2312" w:cs="宋体"/>
          <w:kern w:val="0"/>
          <w:sz w:val="32"/>
          <w:szCs w:val="32"/>
        </w:rPr>
        <w:t>款）</w:t>
      </w:r>
      <w:r>
        <w:rPr>
          <w:rFonts w:hint="eastAsia" w:ascii="仿宋_GB2312" w:hAnsi="宋体" w:eastAsia="仿宋_GB2312" w:cs="宋体"/>
          <w:kern w:val="0"/>
          <w:sz w:val="32"/>
          <w:szCs w:val="32"/>
        </w:rPr>
        <w:t>机关事业单位基本养老保险缴费支出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05</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175.8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比上年预算数增加175.8万元，增长100%，</w:t>
      </w:r>
      <w:r>
        <w:rPr>
          <w:rFonts w:hint="eastAsia" w:ascii="仿宋_GB2312" w:hAnsi="宋体" w:eastAsia="仿宋_GB2312" w:cs="宋体"/>
          <w:color w:val="000000" w:themeColor="text1"/>
          <w:kern w:val="0"/>
          <w:sz w:val="32"/>
          <w:szCs w:val="32"/>
          <w14:textFill>
            <w14:solidFill>
              <w14:schemeClr w14:val="tx1"/>
            </w14:solidFill>
          </w14:textFill>
        </w:rPr>
        <w:t>主要原因是：今年预算将养老保险缴费从一般公共服务支出中分离出来，单独列示。</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9.</w:t>
      </w:r>
      <w:r>
        <w:rPr>
          <w:rFonts w:hint="eastAsia" w:ascii="仿宋_GB2312" w:hAnsi="宋体" w:eastAsia="仿宋_GB2312" w:cs="宋体"/>
          <w:kern w:val="0"/>
          <w:sz w:val="32"/>
          <w:szCs w:val="32"/>
        </w:rPr>
        <w:t>卫生健康支出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210</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w:t>
      </w:r>
      <w:r>
        <w:rPr>
          <w:rFonts w:hint="eastAsia" w:ascii="仿宋_GB2312" w:hAnsi="宋体" w:eastAsia="仿宋_GB2312" w:cs="宋体"/>
          <w:kern w:val="0"/>
          <w:sz w:val="32"/>
          <w:szCs w:val="32"/>
        </w:rPr>
        <w:t>11</w:t>
      </w:r>
      <w:r>
        <w:rPr>
          <w:rFonts w:ascii="仿宋_GB2312" w:hAnsi="宋体" w:eastAsia="仿宋_GB2312" w:cs="宋体"/>
          <w:kern w:val="0"/>
          <w:sz w:val="32"/>
          <w:szCs w:val="32"/>
        </w:rPr>
        <w:t>款）</w:t>
      </w:r>
      <w:r>
        <w:rPr>
          <w:rFonts w:hint="eastAsia" w:ascii="仿宋_GB2312" w:hAnsi="宋体" w:eastAsia="仿宋_GB2312" w:cs="宋体"/>
          <w:kern w:val="0"/>
          <w:sz w:val="32"/>
          <w:szCs w:val="32"/>
        </w:rPr>
        <w:t>机关单位医疗</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183.58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比上年预算数增加183.58万元，增长100%，</w:t>
      </w:r>
      <w:r>
        <w:rPr>
          <w:rFonts w:hint="eastAsia" w:ascii="仿宋_GB2312" w:hAnsi="宋体" w:eastAsia="仿宋_GB2312" w:cs="宋体"/>
          <w:color w:val="000000" w:themeColor="text1"/>
          <w:kern w:val="0"/>
          <w:sz w:val="32"/>
          <w:szCs w:val="32"/>
          <w14:textFill>
            <w14:solidFill>
              <w14:schemeClr w14:val="tx1"/>
            </w14:solidFill>
          </w14:textFill>
        </w:rPr>
        <w:t>主要原因是：今年预算将行政单位医疗从一般公共服务支出中分离出来，单独列示。</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10.</w:t>
      </w:r>
      <w:r>
        <w:rPr>
          <w:rFonts w:hint="eastAsia" w:ascii="仿宋_GB2312" w:hAnsi="宋体" w:eastAsia="仿宋_GB2312" w:cs="宋体"/>
          <w:kern w:val="0"/>
          <w:sz w:val="32"/>
          <w:szCs w:val="32"/>
        </w:rPr>
        <w:t>卫生健康支出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210</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w:t>
      </w:r>
      <w:r>
        <w:rPr>
          <w:rFonts w:hint="eastAsia" w:ascii="仿宋_GB2312" w:hAnsi="宋体" w:eastAsia="仿宋_GB2312" w:cs="宋体"/>
          <w:kern w:val="0"/>
          <w:sz w:val="32"/>
          <w:szCs w:val="32"/>
        </w:rPr>
        <w:t>11</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公务员医疗补助</w:t>
      </w:r>
      <w:r>
        <w:rPr>
          <w:rFonts w:ascii="仿宋_GB2312" w:hAnsi="宋体" w:eastAsia="仿宋_GB2312" w:cs="宋体"/>
          <w:kern w:val="0"/>
          <w:sz w:val="32"/>
          <w:szCs w:val="32"/>
        </w:rPr>
        <w:t>（</w:t>
      </w:r>
      <w:r>
        <w:rPr>
          <w:rFonts w:hint="eastAsia" w:ascii="仿宋_GB2312" w:hAnsi="宋体" w:eastAsia="仿宋_GB2312" w:cs="宋体"/>
          <w:kern w:val="0"/>
          <w:sz w:val="32"/>
          <w:szCs w:val="32"/>
        </w:rPr>
        <w:t>03</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59.36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比上年预算数增加59.36万元，增长100%，</w:t>
      </w:r>
      <w:r>
        <w:rPr>
          <w:rFonts w:hint="eastAsia" w:ascii="仿宋_GB2312" w:hAnsi="宋体" w:eastAsia="仿宋_GB2312" w:cs="宋体"/>
          <w:color w:val="000000" w:themeColor="text1"/>
          <w:kern w:val="0"/>
          <w:sz w:val="32"/>
          <w:szCs w:val="32"/>
          <w14:textFill>
            <w14:solidFill>
              <w14:schemeClr w14:val="tx1"/>
            </w14:solidFill>
          </w14:textFill>
        </w:rPr>
        <w:t>主要原因是：今年预算将公务员医疗补助从一般公共服务支出中分离出来，单独列示。</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11.</w:t>
      </w:r>
      <w:r>
        <w:rPr>
          <w:rFonts w:hint="eastAsia" w:ascii="仿宋_GB2312" w:hAnsi="宋体" w:eastAsia="仿宋_GB2312" w:cs="宋体"/>
          <w:kern w:val="0"/>
          <w:sz w:val="32"/>
          <w:szCs w:val="32"/>
        </w:rPr>
        <w:t>卫生健康支出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210</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w:t>
      </w:r>
      <w:r>
        <w:rPr>
          <w:rFonts w:hint="eastAsia" w:ascii="仿宋_GB2312" w:hAnsi="宋体" w:eastAsia="仿宋_GB2312" w:cs="宋体"/>
          <w:kern w:val="0"/>
          <w:sz w:val="32"/>
          <w:szCs w:val="32"/>
        </w:rPr>
        <w:t>11</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其他行政事业单位医疗支出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99</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0.53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比上年预算数增加0.53万元，增长100%，</w:t>
      </w:r>
      <w:r>
        <w:rPr>
          <w:rFonts w:hint="eastAsia" w:ascii="仿宋_GB2312" w:hAnsi="宋体" w:eastAsia="仿宋_GB2312" w:cs="宋体"/>
          <w:color w:val="000000" w:themeColor="text1"/>
          <w:kern w:val="0"/>
          <w:sz w:val="32"/>
          <w:szCs w:val="32"/>
          <w14:textFill>
            <w14:solidFill>
              <w14:schemeClr w14:val="tx1"/>
            </w14:solidFill>
          </w14:textFill>
        </w:rPr>
        <w:t>主要原因是：今年预算将</w:t>
      </w:r>
      <w:r>
        <w:rPr>
          <w:rFonts w:hint="eastAsia" w:ascii="仿宋_GB2312" w:hAnsi="宋体" w:eastAsia="仿宋_GB2312" w:cs="宋体"/>
          <w:kern w:val="0"/>
          <w:sz w:val="32"/>
          <w:szCs w:val="32"/>
        </w:rPr>
        <w:t>其他行政事业单位医疗支出</w:t>
      </w:r>
      <w:r>
        <w:rPr>
          <w:rFonts w:hint="eastAsia" w:ascii="仿宋_GB2312" w:hAnsi="宋体" w:eastAsia="仿宋_GB2312" w:cs="宋体"/>
          <w:color w:val="000000" w:themeColor="text1"/>
          <w:kern w:val="0"/>
          <w:sz w:val="32"/>
          <w:szCs w:val="32"/>
          <w14:textFill>
            <w14:solidFill>
              <w14:schemeClr w14:val="tx1"/>
            </w14:solidFill>
          </w14:textFill>
        </w:rPr>
        <w:t>从一般公共服务支出中分离出来，单独列示。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昌吉州市场监督管理局2021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昌吉州市场监督管理局2021年一般公共预算基本支出2163.21万元，其中：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1883.57万元，主要包括：基本工资、津贴补贴、奖金、伙食补助费、绩效工资、机关事业单位基本养老保险缴费、职工基本医疗保险缴费、公务员医疗补助缴费、其他社会保障缴费、住房公积金、其他工资福利支出、离休费、生活补助、奖励金、采暖补贴（离退休）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279.64万元，主要包括：办公费、咨询费、水费、电费、邮电费、取暖费、物业管理费、差旅费、维修（护）费、培训费、公务接待费、专用材料费、劳务费、工会经费、福利费、公务用车运行维护费、其他交通费用、其他商品和服务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七、关于昌吉州市场监督管理局2021年一般公共预算项目支出情况说明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州市场监督管理局法制宣传工作经费</w:t>
      </w:r>
    </w:p>
    <w:p>
      <w:pPr>
        <w:spacing w:line="56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设立的政策依据</w:t>
      </w:r>
      <w:r>
        <w:rPr>
          <w:rFonts w:hint="eastAsia" w:ascii="仿宋_GB2312" w:hAnsi="黑体" w:eastAsia="仿宋_GB2312"/>
          <w:color w:val="000000" w:themeColor="text1"/>
          <w:sz w:val="32"/>
          <w:szCs w:val="32"/>
          <w14:textFill>
            <w14:solidFill>
              <w14:schemeClr w14:val="tx1"/>
            </w14:solidFill>
          </w14:textFill>
        </w:rPr>
        <w:t>：《昌吉州人民政府办公室关于印发自治州全面推行政府法律顾问制度实施意见的通知》（昌州政办发〔2016〕52号）；根据三定方案负责做好普法、依法治理工作，以及宣传培训工作。</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预算安排规模</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35万元</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项目承担单位</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昌吉州市场监督管理局</w:t>
      </w:r>
    </w:p>
    <w:p>
      <w:pPr>
        <w:widowControl/>
        <w:spacing w:line="580" w:lineRule="exact"/>
        <w:ind w:firstLine="640"/>
        <w:jc w:val="left"/>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资金分配情况</w:t>
      </w:r>
      <w:r>
        <w:rPr>
          <w:rFonts w:hint="eastAsia" w:ascii="仿宋_GB2312" w:hAnsi="黑体" w:eastAsia="仿宋_GB2312"/>
          <w:color w:val="000000" w:themeColor="text1"/>
          <w:sz w:val="32"/>
          <w:szCs w:val="32"/>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第二季度10万元，第三季度</w:t>
      </w:r>
      <w:r>
        <w:rPr>
          <w:rFonts w:hint="eastAsia" w:ascii="仿宋_GB2312" w:hAnsi="仿宋_GB2312" w:eastAsia="仿宋_GB2312" w:cs="仿宋_GB2312"/>
          <w:color w:val="000000" w:themeColor="text1"/>
          <w:sz w:val="32"/>
          <w:szCs w:val="32"/>
          <w14:textFill>
            <w14:solidFill>
              <w14:schemeClr w14:val="tx1"/>
            </w14:solidFill>
          </w14:textFill>
        </w:rPr>
        <w:t>15</w:t>
      </w:r>
      <w:r>
        <w:rPr>
          <w:rFonts w:hint="eastAsia" w:ascii="仿宋" w:hAnsi="仿宋" w:eastAsia="仿宋" w:cs="仿宋"/>
          <w:color w:val="000000" w:themeColor="text1"/>
          <w:kern w:val="0"/>
          <w:sz w:val="32"/>
          <w:szCs w:val="32"/>
          <w14:textFill>
            <w14:solidFill>
              <w14:schemeClr w14:val="tx1"/>
            </w14:solidFill>
          </w14:textFill>
        </w:rPr>
        <w:t>万元，第四季度</w:t>
      </w:r>
      <w:r>
        <w:rPr>
          <w:rFonts w:hint="eastAsia" w:ascii="仿宋_GB2312" w:hAnsi="仿宋_GB2312" w:eastAsia="仿宋_GB2312" w:cs="仿宋_GB2312"/>
          <w:color w:val="000000" w:themeColor="text1"/>
          <w:sz w:val="32"/>
          <w:szCs w:val="32"/>
          <w14:textFill>
            <w14:solidFill>
              <w14:schemeClr w14:val="tx1"/>
            </w14:solidFill>
          </w14:textFill>
        </w:rPr>
        <w:t>10</w:t>
      </w:r>
      <w:r>
        <w:rPr>
          <w:rFonts w:hint="eastAsia" w:ascii="仿宋" w:hAnsi="仿宋" w:eastAsia="仿宋" w:cs="仿宋"/>
          <w:color w:val="000000" w:themeColor="text1"/>
          <w:kern w:val="0"/>
          <w:sz w:val="32"/>
          <w:szCs w:val="32"/>
          <w14:textFill>
            <w14:solidFill>
              <w14:schemeClr w14:val="tx1"/>
            </w14:solidFill>
          </w14:textFill>
        </w:rPr>
        <w:t>万元。</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资金执行时间</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2021.01-2021.12</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2、项目</w:t>
      </w:r>
      <w:r>
        <w:rPr>
          <w:rFonts w:ascii="仿宋_GB2312" w:hAnsi="黑体" w:eastAsia="仿宋_GB2312"/>
          <w:color w:val="000000" w:themeColor="text1"/>
          <w:sz w:val="32"/>
          <w:szCs w:val="32"/>
          <w14:textFill>
            <w14:solidFill>
              <w14:schemeClr w14:val="tx1"/>
            </w14:solidFill>
          </w14:textFill>
        </w:rPr>
        <w:t>名称</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州市场监督管理局食品药品专项经费</w:t>
      </w:r>
    </w:p>
    <w:p>
      <w:pPr>
        <w:spacing w:line="560" w:lineRule="exact"/>
        <w:ind w:firstLine="640" w:firstLineChars="200"/>
        <w:rPr>
          <w:rFonts w:ascii="仿宋_GB2312" w:hAnsi="黑体" w:eastAsia="仿宋_GB2312"/>
          <w:color w:val="000000" w:themeColor="text1"/>
          <w:sz w:val="32"/>
          <w:szCs w:val="32"/>
          <w:lang w:val="zh-CN"/>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设立的政策依据</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《药品管理法》、</w:t>
      </w:r>
      <w:r>
        <w:rPr>
          <w:rFonts w:hint="eastAsia" w:ascii="仿宋_GB2312" w:hAnsi="黑体" w:eastAsia="仿宋_GB2312"/>
          <w:color w:val="000000" w:themeColor="text1"/>
          <w:sz w:val="32"/>
          <w:szCs w:val="32"/>
          <w14:textFill>
            <w14:solidFill>
              <w14:schemeClr w14:val="tx1"/>
            </w14:solidFill>
          </w14:textFill>
        </w:rPr>
        <w:t>《食品安全法》、《食品安全法实施条例》</w:t>
      </w:r>
      <w:r>
        <w:rPr>
          <w:rFonts w:hint="eastAsia" w:ascii="仿宋_GB2312" w:hAnsi="仿宋_GB2312" w:eastAsia="仿宋_GB2312" w:cs="仿宋_GB2312"/>
          <w:color w:val="000000" w:themeColor="text1"/>
          <w:sz w:val="32"/>
          <w:szCs w:val="32"/>
          <w14:textFill>
            <w14:solidFill>
              <w14:schemeClr w14:val="tx1"/>
            </w14:solidFill>
          </w14:textFill>
        </w:rPr>
        <w:t>等</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val="zh-CN"/>
          <w14:textFill>
            <w14:solidFill>
              <w14:schemeClr w14:val="tx1"/>
            </w14:solidFill>
          </w14:textFill>
        </w:rPr>
        <w:t>根据三定方案负责</w:t>
      </w:r>
      <w:r>
        <w:rPr>
          <w:rFonts w:hint="eastAsia" w:ascii="仿宋_GB2312" w:hAnsi="仿宋_GB2312" w:eastAsia="仿宋_GB2312" w:cs="仿宋_GB2312"/>
          <w:color w:val="000000" w:themeColor="text1"/>
          <w:sz w:val="32"/>
          <w:szCs w:val="32"/>
          <w:lang w:val="zh-CN"/>
          <w14:textFill>
            <w14:solidFill>
              <w14:schemeClr w14:val="tx1"/>
            </w14:solidFill>
          </w14:textFill>
        </w:rPr>
        <w:t>全州</w:t>
      </w:r>
      <w:r>
        <w:rPr>
          <w:rFonts w:hint="eastAsia" w:ascii="仿宋_GB2312" w:hAnsi="黑体" w:eastAsia="仿宋_GB2312"/>
          <w:color w:val="000000" w:themeColor="text1"/>
          <w:sz w:val="32"/>
          <w:szCs w:val="32"/>
          <w:lang w:val="zh-CN"/>
          <w14:textFill>
            <w14:solidFill>
              <w14:schemeClr w14:val="tx1"/>
            </w14:solidFill>
          </w14:textFill>
        </w:rPr>
        <w:t>食品、</w:t>
      </w:r>
      <w:r>
        <w:rPr>
          <w:rFonts w:hint="eastAsia" w:ascii="仿宋_GB2312" w:hAnsi="仿宋_GB2312" w:eastAsia="仿宋_GB2312" w:cs="仿宋_GB2312"/>
          <w:color w:val="000000" w:themeColor="text1"/>
          <w:sz w:val="32"/>
          <w:szCs w:val="32"/>
          <w:lang w:val="zh-CN"/>
          <w14:textFill>
            <w14:solidFill>
              <w14:schemeClr w14:val="tx1"/>
            </w14:solidFill>
          </w14:textFill>
        </w:rPr>
        <w:t>药品、医疗器械和化妆品安全监督管理，监督实施生产、经营和使用质量管理规范。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30万元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rPr>
        <w:t>第二季度10万元，第三季度10万元，第四季度10万元。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2021.01-2021.12</w:t>
      </w:r>
    </w:p>
    <w:p>
      <w:pPr>
        <w:spacing w:line="560" w:lineRule="exact"/>
        <w:ind w:firstLine="640" w:firstLineChars="200"/>
        <w:rPr>
          <w:rFonts w:ascii="仿宋_GB2312" w:hAnsi="宋体" w:eastAsia="仿宋_GB2312" w:cs="宋体"/>
          <w:kern w:val="0"/>
          <w:sz w:val="32"/>
          <w:szCs w:val="32"/>
        </w:rPr>
      </w:pPr>
    </w:p>
    <w:p>
      <w:pPr>
        <w:spacing w:line="560" w:lineRule="exact"/>
        <w:ind w:left="420" w:leftChars="200" w:firstLine="320" w:firstLineChars="1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州市场监督管理局综合大楼管理经费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：物业服务委托协议；电梯设备维护保养合同；办公楼安防视频监控系统维护保养合同；环境卫生委托服务协议。</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85万元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资金分配情况</w:t>
      </w:r>
      <w:r>
        <w:rPr>
          <w:rFonts w:hint="eastAsia" w:ascii="仿宋_GB2312" w:hAnsi="黑体" w:eastAsia="仿宋_GB2312"/>
          <w:color w:val="000000" w:themeColor="text1"/>
          <w:sz w:val="32"/>
          <w:szCs w:val="32"/>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第二季度20万元，第三季度</w:t>
      </w:r>
      <w:r>
        <w:rPr>
          <w:rFonts w:hint="eastAsia" w:ascii="仿宋_GB2312" w:hAnsi="仿宋_GB2312" w:eastAsia="仿宋_GB2312" w:cs="仿宋_GB2312"/>
          <w:color w:val="000000" w:themeColor="text1"/>
          <w:sz w:val="32"/>
          <w:szCs w:val="32"/>
          <w14:textFill>
            <w14:solidFill>
              <w14:schemeClr w14:val="tx1"/>
            </w14:solidFill>
          </w14:textFill>
        </w:rPr>
        <w:t>30</w:t>
      </w:r>
      <w:r>
        <w:rPr>
          <w:rFonts w:hint="eastAsia" w:ascii="仿宋" w:hAnsi="仿宋" w:eastAsia="仿宋" w:cs="仿宋"/>
          <w:color w:val="000000" w:themeColor="text1"/>
          <w:kern w:val="0"/>
          <w:sz w:val="32"/>
          <w:szCs w:val="32"/>
          <w14:textFill>
            <w14:solidFill>
              <w14:schemeClr w14:val="tx1"/>
            </w14:solidFill>
          </w14:textFill>
        </w:rPr>
        <w:t>万元，第四季度</w:t>
      </w:r>
      <w:r>
        <w:rPr>
          <w:rFonts w:hint="eastAsia" w:ascii="仿宋_GB2312" w:hAnsi="仿宋_GB2312" w:eastAsia="仿宋_GB2312" w:cs="仿宋_GB2312"/>
          <w:color w:val="000000" w:themeColor="text1"/>
          <w:sz w:val="32"/>
          <w:szCs w:val="32"/>
          <w14:textFill>
            <w14:solidFill>
              <w14:schemeClr w14:val="tx1"/>
            </w14:solidFill>
          </w14:textFill>
        </w:rPr>
        <w:t>35</w:t>
      </w:r>
      <w:r>
        <w:rPr>
          <w:rFonts w:hint="eastAsia" w:ascii="仿宋" w:hAnsi="仿宋" w:eastAsia="仿宋" w:cs="仿宋"/>
          <w:color w:val="000000" w:themeColor="text1"/>
          <w:kern w:val="0"/>
          <w:sz w:val="32"/>
          <w:szCs w:val="32"/>
          <w14:textFill>
            <w14:solidFill>
              <w14:schemeClr w14:val="tx1"/>
            </w14:solidFill>
          </w14:textFill>
        </w:rPr>
        <w:t>万元。</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资金执行时间</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2021.01-2021.12</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州市场监督管理局市场监管业务经费</w:t>
      </w:r>
    </w:p>
    <w:p>
      <w:pPr>
        <w:spacing w:line="560" w:lineRule="exact"/>
        <w:ind w:firstLine="640" w:firstLineChars="200"/>
        <w:rPr>
          <w:rStyle w:val="8"/>
          <w:rFonts w:ascii="仿宋" w:hAnsi="仿宋" w:eastAsia="仿宋" w:cs="仿宋"/>
          <w:b w:val="0"/>
          <w:spacing w:val="-4"/>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Style w:val="8"/>
          <w:rFonts w:hint="eastAsia" w:ascii="仿宋" w:hAnsi="仿宋" w:eastAsia="仿宋" w:cs="仿宋"/>
          <w:b w:val="0"/>
          <w:spacing w:val="-4"/>
          <w:sz w:val="32"/>
          <w:szCs w:val="32"/>
        </w:rPr>
        <w:t>按照三定方案承担做好各类市场主体的注册登记和行政审批工作；做好主体信息公示，核查企业年报准确性及真实性，负责“双随机、一公开”监管工作；负责承担打击传销工作，执法稽查工作。</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115万元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rPr>
        <w:t>第二季度40万元，第三季度40万元，第四季度35万元。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2021.01-2021.12</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州市场监督管理局认证认可标准化监管经费</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olor w:val="000000" w:themeColor="text1"/>
          <w:sz w:val="32"/>
          <w:szCs w:val="32"/>
          <w14:textFill>
            <w14:solidFill>
              <w14:schemeClr w14:val="tx1"/>
            </w14:solidFill>
          </w14:textFill>
        </w:rPr>
        <w:t>《中华人民共和国标准化法》；市场监管总局办公厅《关于印发团体标准、企业标准随机抽查功过指引的通知》</w:t>
      </w:r>
      <w:r>
        <w:rPr>
          <w:rFonts w:hint="eastAsia" w:ascii="仿宋_GB2312" w:hAnsi="黑体" w:eastAsia="仿宋_GB2312"/>
          <w:sz w:val="32"/>
          <w:szCs w:val="32"/>
        </w:rPr>
        <w:t>（市监标创函〔2019〕1104号）；</w:t>
      </w:r>
      <w:r>
        <w:rPr>
          <w:rFonts w:hint="eastAsia" w:ascii="仿宋_GB2312" w:hAnsi="黑体" w:eastAsia="仿宋_GB2312"/>
          <w:color w:val="000000" w:themeColor="text1"/>
          <w:sz w:val="32"/>
          <w:szCs w:val="32"/>
          <w14:textFill>
            <w14:solidFill>
              <w14:schemeClr w14:val="tx1"/>
            </w14:solidFill>
          </w14:textFill>
        </w:rPr>
        <w:t>根据三定方案负责对全州计量监督管理和认证认可监管工作；负责统一管理标准化工作，对强制性标准的实施进行监督检查。</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55万元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rPr>
        <w:t>第二季度25万元，第三季度15万元，第四季度15万元。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2021.01-2021.12</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州市场监督管理局产品质量监管经费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：《财政部 国家发展改革委关于清理规范一批行政事业性收费有关政策的通知》（财税〔2017〕20号）；《自治区市场监督管理局关于印发《自治区重点工业产品质量安全监管目录（2020年版）的通知》（新市监质监〔2020〕31号）。</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：50万元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：昌吉州市场监督管理局</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rPr>
        <w:t>第二季度20万元，第三季度20万元，第四季度10万元。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2021.01-2021.12</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7、项目名称：州市场监督管理局特种设备安全监管经费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：《中华人民共和国特种设备安全法》；《特种设备安全监察条例》；《自治州特种设备安全专项整治三年行动实施方案》（昌州市监〔2020〕40号）</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w:t>
      </w:r>
      <w:r>
        <w:rPr>
          <w:rFonts w:hint="eastAsia" w:ascii="仿宋_GB2312" w:hAnsi="宋体" w:eastAsia="仿宋_GB2312" w:cs="宋体"/>
          <w:kern w:val="0"/>
          <w:sz w:val="32"/>
          <w:szCs w:val="32"/>
        </w:rPr>
        <w:t>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rPr>
        <w:t>第二季度4万元，第三季度3万元，第四季度3万元。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2021.01-2021.12</w:t>
      </w:r>
    </w:p>
    <w:p>
      <w:pPr>
        <w:spacing w:line="560" w:lineRule="exact"/>
        <w:ind w:firstLine="640" w:firstLineChars="200"/>
        <w:rPr>
          <w:rFonts w:ascii="仿宋_GB2312" w:hAnsi="宋体" w:eastAsia="仿宋_GB2312" w:cs="宋体"/>
          <w:kern w:val="0"/>
          <w:sz w:val="32"/>
          <w:szCs w:val="32"/>
        </w:rPr>
      </w:pPr>
    </w:p>
    <w:p>
      <w:pPr>
        <w:numPr>
          <w:ilvl w:val="0"/>
          <w:numId w:val="2"/>
        </w:num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项目名称：“阳光食品”PPP项目财政补贴资金</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设立的政策依据</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关于安排专项经费的通知（昌州财经办〔2017〕68号）</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预算安排规模</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182万元</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项目承担单位</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昌吉州市场监督管理局</w:t>
      </w:r>
    </w:p>
    <w:p>
      <w:pPr>
        <w:widowControl/>
        <w:spacing w:line="580" w:lineRule="exact"/>
        <w:ind w:firstLine="640"/>
        <w:jc w:val="left"/>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资金分配情况</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上半年91万元，下半年91万元。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2021.01-2021.12</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9、项目名称：州市场监督管理局知识产权管理与综合执法经费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《关于安排知识产权专项经费的通知》</w:t>
      </w:r>
      <w:r>
        <w:rPr>
          <w:rFonts w:hint="eastAsia" w:ascii="仿宋_GB2312" w:hAnsi="黑体" w:eastAsia="仿宋_GB2312"/>
          <w:sz w:val="32"/>
          <w:szCs w:val="32"/>
        </w:rPr>
        <w:t>（昌州政办发〔2015〕55号）</w:t>
      </w:r>
      <w:r>
        <w:rPr>
          <w:rFonts w:hint="eastAsia" w:ascii="仿宋_GB2312" w:hAnsi="宋体" w:eastAsia="仿宋_GB2312" w:cs="宋体"/>
          <w:kern w:val="0"/>
          <w:sz w:val="32"/>
          <w:szCs w:val="32"/>
        </w:rPr>
        <w:t>；按照三定方案负责市场知识产权管理。</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30万元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rPr>
        <w:t>第二季度10万元，第三季度10万元，第四季度10万元。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2021.01-2021.12</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10、项目名称：州市场监督管理局执法办案经费</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设立的政策依据</w:t>
      </w:r>
      <w:r>
        <w:rPr>
          <w:rFonts w:hint="eastAsia" w:ascii="仿宋_GB2312" w:hAnsi="黑体" w:eastAsia="仿宋_GB2312"/>
          <w:color w:val="000000" w:themeColor="text1"/>
          <w:sz w:val="32"/>
          <w:szCs w:val="32"/>
          <w14:textFill>
            <w14:solidFill>
              <w14:schemeClr w14:val="tx1"/>
            </w14:solidFill>
          </w14:textFill>
        </w:rPr>
        <w:t>：关于征求《国家食品安全示范城市评价细则》《现场检查要点》意见建议的通知（新市监明电〔2020〕22号）；按照三定方案负责本行政区域内的市场监督管理、行政执法工作。</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30万元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rPr>
        <w:t>第二季度10万元，第三季度10万元，第四季度10万元。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2021.01-2021.12</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八、关于昌吉州市场监督管理局2021年一般公共预算“三公”经费预算情况说明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昌吉州市场监督管理局2021年一般公共预算“三公”经费数为33.86万元，其中：因公出国（境）费0万元，公务用车购置0万元，公务用车运行费30.86万元，公务接待费3万元。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2021年一般公共预算“三公”经费比上年增加6.74万元，其中：因公出国（境）费增加0万元，未安排预算；公务用车购置费为0万元，未安排预算。公务用车运行费增加7.36万元，主要原因是：</w:t>
      </w:r>
      <w:r>
        <w:rPr>
          <w:rFonts w:hint="eastAsia" w:ascii="仿宋_GB2312" w:hAnsi="仿宋_GB2312" w:eastAsia="仿宋_GB2312" w:cs="仿宋_GB2312"/>
          <w:sz w:val="32"/>
          <w:szCs w:val="32"/>
        </w:rPr>
        <w:t>因机构合并，自2021年起并入原昌吉州质量技术监督稽查队、昌吉州食品药品安全稽查支队两个单位</w:t>
      </w:r>
      <w:r>
        <w:rPr>
          <w:rFonts w:hint="eastAsia" w:ascii="仿宋_GB2312" w:hAnsi="仿宋_GB2312" w:eastAsia="仿宋_GB2312" w:cs="仿宋_GB2312"/>
          <w:color w:val="000000" w:themeColor="text1"/>
          <w:sz w:val="32"/>
          <w:szCs w:val="32"/>
          <w14:textFill>
            <w14:solidFill>
              <w14:schemeClr w14:val="tx1"/>
            </w14:solidFill>
          </w14:textFill>
        </w:rPr>
        <w:t>，根据单位编制数重新核定公务用车编制，增加了执法执勤用车编制</w:t>
      </w:r>
      <w:r>
        <w:rPr>
          <w:rFonts w:hint="eastAsia" w:ascii="仿宋_GB2312" w:hAnsi="宋体" w:eastAsia="仿宋_GB2312" w:cs="宋体"/>
          <w:color w:val="000000" w:themeColor="text1"/>
          <w:kern w:val="0"/>
          <w:sz w:val="32"/>
          <w:szCs w:val="32"/>
          <w14:textFill>
            <w14:solidFill>
              <w14:schemeClr w14:val="tx1"/>
            </w14:solidFill>
          </w14:textFill>
        </w:rPr>
        <w:t>；公务接待费减少0.62万元，主</w:t>
      </w:r>
      <w:r>
        <w:rPr>
          <w:rFonts w:hint="eastAsia" w:ascii="仿宋_GB2312" w:hAnsi="宋体" w:eastAsia="仿宋_GB2312" w:cs="宋体"/>
          <w:kern w:val="0"/>
          <w:sz w:val="32"/>
          <w:szCs w:val="32"/>
        </w:rPr>
        <w:t>要原因是：根据上年预算执行情况，压减公务接待支出预算。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九、关于昌吉州市场监督管理局2021年政府性基金预算拨款情况说明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sz w:val="32"/>
          <w:szCs w:val="32"/>
        </w:rPr>
        <w:t>昌吉州市场监督管理局2021年没有使用政府性基金预算拨款安排的支出，政府性基金预算支出情况表为空表。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2021年，昌吉州市场监督管理局的机关运行经费财政拨款预算279.64万元，比上年预算增加37.54万元，增长15.51%。主要原因是:</w:t>
      </w:r>
      <w:r>
        <w:rPr>
          <w:rFonts w:hint="eastAsia" w:ascii="仿宋_GB2312" w:hAnsi="仿宋_GB2312" w:eastAsia="仿宋_GB2312" w:cs="仿宋_GB2312"/>
          <w:sz w:val="32"/>
          <w:szCs w:val="32"/>
        </w:rPr>
        <w:t>因机构合并，自2021年起并入原昌吉州质量技术监督稽查队、昌吉州食品药品安全稽查支队</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2021年，昌吉州市场监督管理局政府采购预算402.18万元，其中：政府采购货物预算40.38万元，政府采购工程预算0万元，政府采购服务预算361.80万元。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2021年度本部门（单位）面向中小企业预留政府采购371.06项目预算金额万元，其中：面向小微企业预留政府采购项目预算金额371.06万元。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截至2020年底，昌吉州市场监督管理局占用使用国有资产总体情况为：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1.房屋47412.20平方米，价值13075.34万元。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2.车辆24辆，价值547.77万元；其中：一般公务用车2辆，价值37.98万元；执法执勤用车18辆，价值362.89万元；其他车辆4辆，价值146.90万元。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3.办公家具价值200.73万元。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4.其他资产价值2641.10万元。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单位价值50万元以上大型设备2台（套），单位价值100万元以上大型设备1台（套）。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2021年昌吉州市场监督管理局部门预算未安排购置车辆经费，安排购置50万元以上大型设备0台（套），单位价值100万元以上大型设备0台（套）。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10个，涉及预算金额622万元。具体情况见下表：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tbl>
      <w:tblPr>
        <w:tblStyle w:val="6"/>
        <w:tblpPr w:leftFromText="180" w:rightFromText="180" w:vertAnchor="text" w:horzAnchor="page" w:tblpX="1774" w:tblpY="579"/>
        <w:tblOverlap w:val="never"/>
        <w:tblW w:w="8815" w:type="dxa"/>
        <w:tblInd w:w="0" w:type="dxa"/>
        <w:tblLayout w:type="fixed"/>
        <w:tblCellMar>
          <w:top w:w="0" w:type="dxa"/>
          <w:left w:w="0" w:type="dxa"/>
          <w:bottom w:w="0" w:type="dxa"/>
          <w:right w:w="0" w:type="dxa"/>
        </w:tblCellMar>
      </w:tblPr>
      <w:tblGrid>
        <w:gridCol w:w="843"/>
        <w:gridCol w:w="1515"/>
        <w:gridCol w:w="1278"/>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269"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昌吉州市场监督管理局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法制宣传工作经费</w:t>
            </w:r>
          </w:p>
        </w:tc>
      </w:tr>
      <w:tr>
        <w:tblPrEx>
          <w:tblLayout w:type="fixed"/>
          <w:tblCellMar>
            <w:top w:w="0" w:type="dxa"/>
            <w:left w:w="0" w:type="dxa"/>
            <w:bottom w:w="0" w:type="dxa"/>
            <w:right w:w="0" w:type="dxa"/>
          </w:tblCellMar>
        </w:tblPrEx>
        <w:trPr>
          <w:trHeight w:val="54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97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根据三定方案，我局负责做好普法、依法治理工作，以及宣传培训工作。项目目标：主要加强市场监督管理政策理论宣传、法律法规知识宣传、工作动态信息宣传、“四大安全”监督宣传、应知应会知识普及率宣传等，举办信息培训班，主针对新闻稿件的撰写、拍摄、新媒体产品的剪辑、制作，进行相关业务做好培训，做好“昌吉州市场监管”公众号的管理和审核发布。每年组织开展行政执法人员通用法律知识、专门法律知识、新法律法规等专题培训。落实“谁执法谁普法”的普法责任制，开展各类普法宣传活动,提高全局职工法治意识。</w:t>
            </w:r>
          </w:p>
        </w:tc>
      </w:tr>
      <w:tr>
        <w:tblPrEx>
          <w:tblLayout w:type="fixed"/>
          <w:tblCellMar>
            <w:top w:w="0" w:type="dxa"/>
            <w:left w:w="0" w:type="dxa"/>
            <w:bottom w:w="0" w:type="dxa"/>
            <w:right w:w="0" w:type="dxa"/>
          </w:tblCellMar>
        </w:tblPrEx>
        <w:trPr>
          <w:trHeight w:val="48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8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聘请法律顾问人数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1人</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印制法律法规宣传资料</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10000份</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全年开展法律法规宣传</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4次</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组织执法人员、信息宣传培训</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4次</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组织开展法治讲座</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2次</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与主流媒体签订合作协议</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4家</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购云台相机数量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2台</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组织全局职工参加无纸化法律学习合格率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组织机关干部撰写信息，投稿率达到比例</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项目所需时间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12月</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普法工作成本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5万</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聘请法律顾问成本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5万</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宣传、培训活动经费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25万元</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提高全局干部职工</w:t>
            </w:r>
            <w:r>
              <w:rPr>
                <w:rFonts w:hint="eastAsia" w:ascii="宋体" w:hAnsi="宋体" w:cs="宋体"/>
                <w:color w:val="000000"/>
                <w:kern w:val="0"/>
                <w:sz w:val="18"/>
                <w:szCs w:val="18"/>
                <w:lang w:eastAsia="zh-CN" w:bidi="ar"/>
              </w:rPr>
              <w:t>法治</w:t>
            </w:r>
            <w:bookmarkStart w:id="4" w:name="_GoBack"/>
            <w:bookmarkEnd w:id="4"/>
            <w:r>
              <w:rPr>
                <w:rFonts w:hint="eastAsia" w:ascii="宋体" w:hAnsi="宋体" w:cs="宋体"/>
                <w:color w:val="000000"/>
                <w:kern w:val="0"/>
                <w:sz w:val="18"/>
                <w:szCs w:val="18"/>
                <w:lang w:bidi="ar"/>
              </w:rPr>
              <w:t>意识及社会公众对我局业务知晓比率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逐年提高</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引导各行各业重视发展质量意识，提升企业质量管理水平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逐年提高</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持续推动社会公众通过媒介了解相关政策并运用到生活中的影响力。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长期</w:t>
            </w:r>
          </w:p>
        </w:tc>
      </w:tr>
      <w:tr>
        <w:tblPrEx>
          <w:tblLayout w:type="fixed"/>
          <w:tblCellMar>
            <w:top w:w="0" w:type="dxa"/>
            <w:left w:w="0" w:type="dxa"/>
            <w:bottom w:w="0" w:type="dxa"/>
            <w:right w:w="0" w:type="dxa"/>
          </w:tblCellMar>
        </w:tblPrEx>
        <w:trPr>
          <w:trHeight w:val="44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满意度</w:t>
            </w:r>
          </w:p>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指标</w:t>
            </w:r>
          </w:p>
        </w:tc>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社会公众满意度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≥90%</w:t>
            </w:r>
          </w:p>
        </w:tc>
      </w:tr>
    </w:tbl>
    <w:tbl>
      <w:tblPr>
        <w:tblStyle w:val="6"/>
        <w:tblW w:w="8815" w:type="dxa"/>
        <w:tblInd w:w="0" w:type="dxa"/>
        <w:tblLayout w:type="fixed"/>
        <w:tblCellMar>
          <w:top w:w="0" w:type="dxa"/>
          <w:left w:w="0" w:type="dxa"/>
          <w:bottom w:w="0" w:type="dxa"/>
          <w:right w:w="0" w:type="dxa"/>
        </w:tblCellMar>
      </w:tblPr>
      <w:tblGrid>
        <w:gridCol w:w="843"/>
        <w:gridCol w:w="1515"/>
        <w:gridCol w:w="1278"/>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269"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昌吉州市场监督管理局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食品药品专项经费</w:t>
            </w:r>
          </w:p>
        </w:tc>
      </w:tr>
      <w:tr>
        <w:tblPrEx>
          <w:tblLayout w:type="fixed"/>
          <w:tblCellMar>
            <w:top w:w="0" w:type="dxa"/>
            <w:left w:w="0" w:type="dxa"/>
            <w:bottom w:w="0" w:type="dxa"/>
            <w:right w:w="0" w:type="dxa"/>
          </w:tblCellMar>
        </w:tblPrEx>
        <w:trPr>
          <w:trHeight w:val="54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97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根据三定方案职能，我单位负责食品生产企业规范企业生产过程管理，防控食品安全风险。负责全州食品经营监督管理工作，承担食品流通和餐饮领域的质量安全监管工作。项目目标：组织实施全州（零售）药品、化妆品、医疗器械经营和使用质量安全监管及开展药品、化妆品不良反应和医疗器械不良反应事件监测报告等工作。通过开展食品、药品监督抽验、执法办案、医疗器械不良反应监测等工作，提高我州食品、药品监管能力。不定期的检查食品、药品行业，及时获取反馈信息，对有问题的企业严格监管并加以整改。加大对食品、药品安全法律法规的宣传，同时积极应对食品、药品安全突出问题，收集和解决老百姓关心的食品、药品安全问题，逐步提高人民群众对我州食品、药品安全的信任度和满意度。</w:t>
            </w:r>
          </w:p>
        </w:tc>
      </w:tr>
      <w:tr>
        <w:tblPrEx>
          <w:tblLayout w:type="fixed"/>
          <w:tblCellMar>
            <w:top w:w="0" w:type="dxa"/>
            <w:left w:w="0" w:type="dxa"/>
            <w:bottom w:w="0" w:type="dxa"/>
            <w:right w:w="0" w:type="dxa"/>
          </w:tblCellMar>
        </w:tblPrEx>
        <w:trPr>
          <w:trHeight w:val="48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8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开展食品生产、经营企业监督检查（家）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≧485</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完成检查报告数量（个）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检查频次（次）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≧15</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开展药品、医疗器械、化妆品经营企业和疫苗接种单位安全检查（家）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组织开展食品、药品、医疗器械、化妆品宣传活动（次）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≧11</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开展药品专项整治（次）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组织开展食安员考试（次）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组织开展全州食品经营者食品安全知识培训（次）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印制药品安全知识宣传资料（份）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≧35000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违法企业处理率（%）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食品安全知识宣传覆盖率（%）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昌吉州药品、医疗器械生产企业监督检查覆盖率（%）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年度检查任务按时完成率（%）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项目开展时间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2021年1-12月</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食品生产、经营安全监管成本（万元）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≦12</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药品安全监管成本（万元）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临聘人员工资及社保（万元）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检查结果公开率（%）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加强全州食品、药品市场监管，促进产业健康发展。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逐年加强</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问题整改落实率（%）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通过监督检查，提高生产经营企业风险监控能力，落实主体责任，保障食品药品质量安全。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w:t>
            </w:r>
          </w:p>
        </w:tc>
      </w:tr>
      <w:tr>
        <w:tblPrEx>
          <w:tblLayout w:type="fixed"/>
          <w:tblCellMar>
            <w:top w:w="0" w:type="dxa"/>
            <w:left w:w="0" w:type="dxa"/>
            <w:bottom w:w="0" w:type="dxa"/>
            <w:right w:w="0" w:type="dxa"/>
          </w:tblCellMar>
        </w:tblPrEx>
        <w:trPr>
          <w:trHeight w:val="440" w:hRule="atLeast"/>
        </w:trPr>
        <w:tc>
          <w:tcPr>
            <w:tcW w:w="8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满意度</w:t>
            </w:r>
          </w:p>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指标</w:t>
            </w: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社会公众满意度（%）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≥95%</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检查人员被投诉次数（次）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w:t>
            </w:r>
          </w:p>
        </w:tc>
      </w:tr>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269"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昌吉州市场监督管理局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综合大楼管理经费</w:t>
            </w:r>
          </w:p>
        </w:tc>
      </w:tr>
      <w:tr>
        <w:tblPrEx>
          <w:tblLayout w:type="fixed"/>
          <w:tblCellMar>
            <w:top w:w="0" w:type="dxa"/>
            <w:left w:w="0" w:type="dxa"/>
            <w:bottom w:w="0" w:type="dxa"/>
            <w:right w:w="0" w:type="dxa"/>
          </w:tblCellMar>
        </w:tblPrEx>
        <w:trPr>
          <w:trHeight w:val="54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97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昌吉州市场监督管理局局规格处级，负责本行政区域内的市场监督管理、知识产权工作、行政执法及特种设备安全监察工作。办公地点位于昌吉市健康西路与西外环交汇处，建筑面积27968.39平方米（地上十五层，地下一层），大楼内设有电梯三部。办公楼内共有州局机关、州质检所、州计量所、州纤检所、州药检所5家单位。项目目标：为保证各单位业务工作正常开展，州局机关承担着综合检测大楼正常运转的工作任务。全年开展物业服务、电梯维护保养、视频监控维护及创造良好的办公环境。</w:t>
            </w:r>
          </w:p>
        </w:tc>
      </w:tr>
      <w:tr>
        <w:tblPrEx>
          <w:tblLayout w:type="fixed"/>
          <w:tblCellMar>
            <w:top w:w="0" w:type="dxa"/>
            <w:left w:w="0" w:type="dxa"/>
            <w:bottom w:w="0" w:type="dxa"/>
            <w:right w:w="0" w:type="dxa"/>
          </w:tblCellMar>
        </w:tblPrEx>
        <w:trPr>
          <w:trHeight w:val="48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8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保障大楼内水电暖正常运转，开展日常维修维护次数。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=4次</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大楼内三部电梯维保检查次数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=12次</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 xml:space="preserve">空调消防设施维保安全检查次数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=12次</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环境卫生质量良好率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≥95%</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 xml:space="preserve">项目所需时间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=12月</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大楼水电暖、空调、电梯、消防、监控系统等维保费用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10万元</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大楼物业管理成本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75万元</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不发生安全事故</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保障大楼正常运转情况良好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持续提高</w:t>
            </w:r>
          </w:p>
        </w:tc>
      </w:tr>
      <w:tr>
        <w:tblPrEx>
          <w:tblLayout w:type="fixed"/>
          <w:tblCellMar>
            <w:top w:w="0" w:type="dxa"/>
            <w:left w:w="0" w:type="dxa"/>
            <w:bottom w:w="0" w:type="dxa"/>
            <w:right w:w="0" w:type="dxa"/>
          </w:tblCellMar>
        </w:tblPrEx>
        <w:trPr>
          <w:trHeight w:val="602"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满意度</w:t>
            </w:r>
          </w:p>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指标</w:t>
            </w:r>
          </w:p>
        </w:tc>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干部职工满意度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≥95%</w:t>
            </w:r>
          </w:p>
        </w:tc>
      </w:tr>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269"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昌吉州市场监督管理局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市场监管业务经费</w:t>
            </w:r>
          </w:p>
        </w:tc>
      </w:tr>
      <w:tr>
        <w:tblPrEx>
          <w:tblLayout w:type="fixed"/>
          <w:tblCellMar>
            <w:top w:w="0" w:type="dxa"/>
            <w:left w:w="0" w:type="dxa"/>
            <w:bottom w:w="0" w:type="dxa"/>
            <w:right w:w="0" w:type="dxa"/>
          </w:tblCellMar>
        </w:tblPrEx>
        <w:trPr>
          <w:trHeight w:val="54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592"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97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按照三定方案，承担做好各类市场主体的注册登记和行政审批工作；做好主体信息公示，核查企业年报准确性及真实性，负责“双随机、一公开”监管工作；项目目标：做好辖区内宏观质量管理工作，推进质量强州工作，组织每年全国“质量月”活动；组织实施网络市场监测工作，商品交易市场监管工作，以及涉及全州的信息系统和工程项目建设，指导开展信息化平台运行维护，统筹开展综合数据分析、应用、管理和服务。负责承担打击传销工作，执法稽查工作，包括食品、药品、特种设备等产品的经营、销售、使用以及商标侵权、假冒专利、价格违法行为的行政检查、行政强制、行政处罚等行政执法职责，保护消费者合法权益等。</w:t>
            </w:r>
          </w:p>
        </w:tc>
      </w:tr>
      <w:tr>
        <w:tblPrEx>
          <w:tblLayout w:type="fixed"/>
          <w:tblCellMar>
            <w:top w:w="0" w:type="dxa"/>
            <w:left w:w="0" w:type="dxa"/>
            <w:bottom w:w="0" w:type="dxa"/>
            <w:right w:w="0" w:type="dxa"/>
          </w:tblCellMar>
        </w:tblPrEx>
        <w:trPr>
          <w:trHeight w:val="48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8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组织工作人员食品安全应急管理指导等培训（次）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印制宣传材料（份）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开展打击传销、市场专项监督检查（次）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开展食品安全应急演练（次）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查办案件（件）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完成“双随机、一公开”联合抽查任务（次）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委托第三方随机抽查企业数量（家）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通过监测形成综合定向监测报告（份）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每周对中心机房消防系统、机柜、UPS、空调等设备的维护管理（次）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≧52</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案件处理率（%）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12315平台受理投诉举报办结率（%）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市场监管业务相关知识宣传覆盖率（%）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注册登记的企业年报率（%）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≥85%</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系统故障率（%）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年度检查任务按时完成率（%）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各项工作开展时间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2021年1-12月</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市场监管业务成本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113万元</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临聘人员工资及社保</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2万元</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提高消费者维权意识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逐年提高</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检查结果公开率（%）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震慑市场违法犯罪行为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长期</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问题整改落实率（%）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促进企业诚信自律，规范企业信息公示，强化企业信用约束，提高政府监管效能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w:t>
            </w:r>
          </w:p>
        </w:tc>
      </w:tr>
      <w:tr>
        <w:tblPrEx>
          <w:tblLayout w:type="fixed"/>
          <w:tblCellMar>
            <w:top w:w="0" w:type="dxa"/>
            <w:left w:w="0" w:type="dxa"/>
            <w:bottom w:w="0" w:type="dxa"/>
            <w:right w:w="0" w:type="dxa"/>
          </w:tblCellMar>
        </w:tblPrEx>
        <w:trPr>
          <w:trHeight w:val="440" w:hRule="atLeast"/>
        </w:trPr>
        <w:tc>
          <w:tcPr>
            <w:tcW w:w="8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满意度</w:t>
            </w:r>
          </w:p>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指标</w:t>
            </w:r>
          </w:p>
        </w:tc>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企业满意度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检查人员被投诉次数（次）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r>
    </w:tbl>
    <w:p>
      <w:pPr>
        <w:widowControl/>
        <w:spacing w:line="480" w:lineRule="exact"/>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843"/>
        <w:gridCol w:w="1569"/>
        <w:gridCol w:w="1224"/>
        <w:gridCol w:w="1347"/>
        <w:gridCol w:w="129"/>
        <w:gridCol w:w="831"/>
        <w:gridCol w:w="208"/>
        <w:gridCol w:w="1481"/>
        <w:gridCol w:w="1183"/>
      </w:tblGrid>
      <w:tr>
        <w:tblPrEx>
          <w:tblLayout w:type="fixed"/>
          <w:tblCellMar>
            <w:top w:w="0" w:type="dxa"/>
            <w:left w:w="0" w:type="dxa"/>
            <w:bottom w:w="0" w:type="dxa"/>
            <w:right w:w="0" w:type="dxa"/>
          </w:tblCellMar>
        </w:tblPrEx>
        <w:trPr>
          <w:trHeight w:val="480" w:hRule="atLeast"/>
        </w:trPr>
        <w:tc>
          <w:tcPr>
            <w:tcW w:w="8815" w:type="dxa"/>
            <w:gridSpan w:val="9"/>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9"/>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40"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昌吉州市场监督管理局</w:t>
            </w:r>
          </w:p>
        </w:tc>
        <w:tc>
          <w:tcPr>
            <w:tcW w:w="9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认证认可标准化监管经费</w:t>
            </w:r>
          </w:p>
        </w:tc>
      </w:tr>
      <w:tr>
        <w:tblPrEx>
          <w:tblLayout w:type="fixed"/>
          <w:tblCellMar>
            <w:top w:w="0" w:type="dxa"/>
            <w:left w:w="0" w:type="dxa"/>
            <w:bottom w:w="0" w:type="dxa"/>
            <w:right w:w="0" w:type="dxa"/>
          </w:tblCellMar>
        </w:tblPrEx>
        <w:trPr>
          <w:trHeight w:val="54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55</w:t>
            </w:r>
          </w:p>
        </w:tc>
        <w:tc>
          <w:tcPr>
            <w:tcW w:w="13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9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55</w:t>
            </w:r>
          </w:p>
        </w:tc>
        <w:tc>
          <w:tcPr>
            <w:tcW w:w="1689"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972" w:type="dxa"/>
            <w:gridSpan w:val="8"/>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根据三定方案，我单位负责对全州计量监督管理和认证认可监管工作；负责统一管理标准化工作，对强制性标准的实施进行监督检查。项目目标：加强对所辖区域内检验检测机构的监督管理，保证计量法律、法规、规章及强制性产品认证等国家统一推行的认证认可制度在我州的贯彻实施。推行采用国标标准和国外先进标准，受理企业产品备案。制定地方标准化工作规划、计划；指导本行政区域有关行政主管部门的标准化工作，协调和处理有关标准化工作问题。依法组织制定地方标准。宣传《中华人民共和国标准化法》，举办标准化人员培训；组织对标准的实施进行监督，督促企业网上声明公开执行标准，聘请第三方开展公开标准的监督检查，采标工作顺利完成。</w:t>
            </w:r>
          </w:p>
        </w:tc>
      </w:tr>
      <w:tr>
        <w:tblPrEx>
          <w:tblLayout w:type="fixed"/>
          <w:tblCellMar>
            <w:top w:w="0" w:type="dxa"/>
            <w:left w:w="0" w:type="dxa"/>
            <w:bottom w:w="0" w:type="dxa"/>
            <w:right w:w="0" w:type="dxa"/>
          </w:tblCellMar>
        </w:tblPrEx>
        <w:trPr>
          <w:trHeight w:val="48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872" w:type="dxa"/>
            <w:gridSpan w:val="3"/>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8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开展认证认可、标准化监督检查（次）</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完成采标工作产品获得采标证书（次）</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举办标准化人员的培训（次）</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完成检查报告数量（个）</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开展《标准化法》的宣传（次）</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强制性产品认证活动检查覆盖率（%）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声明公开标准的监督抽查率（%）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年度检查任务按时完成率（%）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项目开展时间</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2021年1-12月</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计量、认证认可、标准化工作成本（万元）</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聘请第三方开展公开标准的监督检查及标准制定成本（万元）</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临聘人员工资及社保（万元）</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检查结果公开率（%）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提高产品和服务质量，推动高质量发展</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逐年提高</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问题整改落实率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持续加强检验检测机构管理，严格检测程序，保证检测质量</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w:t>
            </w:r>
          </w:p>
        </w:tc>
      </w:tr>
      <w:tr>
        <w:tblPrEx>
          <w:tblLayout w:type="fixed"/>
          <w:tblCellMar>
            <w:top w:w="0" w:type="dxa"/>
            <w:left w:w="0" w:type="dxa"/>
            <w:bottom w:w="0" w:type="dxa"/>
            <w:right w:w="0" w:type="dxa"/>
          </w:tblCellMar>
        </w:tblPrEx>
        <w:trPr>
          <w:trHeight w:val="440" w:hRule="atLeast"/>
        </w:trPr>
        <w:tc>
          <w:tcPr>
            <w:tcW w:w="8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满意度</w:t>
            </w:r>
          </w:p>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指标</w:t>
            </w: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企业满意度（%）</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检查人员被投诉次数（次）</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r>
      <w:tr>
        <w:tblPrEx>
          <w:tblLayout w:type="fixed"/>
          <w:tblCellMar>
            <w:top w:w="0" w:type="dxa"/>
            <w:left w:w="0" w:type="dxa"/>
            <w:bottom w:w="0" w:type="dxa"/>
            <w:right w:w="0" w:type="dxa"/>
          </w:tblCellMar>
        </w:tblPrEx>
        <w:trPr>
          <w:trHeight w:val="480" w:hRule="atLeast"/>
        </w:trPr>
        <w:tc>
          <w:tcPr>
            <w:tcW w:w="8815" w:type="dxa"/>
            <w:gridSpan w:val="9"/>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9"/>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40"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昌吉州市场监督管理局</w:t>
            </w:r>
          </w:p>
        </w:tc>
        <w:tc>
          <w:tcPr>
            <w:tcW w:w="9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产品质量监管经费</w:t>
            </w:r>
          </w:p>
        </w:tc>
      </w:tr>
      <w:tr>
        <w:tblPrEx>
          <w:tblLayout w:type="fixed"/>
          <w:tblCellMar>
            <w:top w:w="0" w:type="dxa"/>
            <w:left w:w="0" w:type="dxa"/>
            <w:bottom w:w="0" w:type="dxa"/>
            <w:right w:w="0" w:type="dxa"/>
          </w:tblCellMar>
        </w:tblPrEx>
        <w:trPr>
          <w:trHeight w:val="54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3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9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689"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972" w:type="dxa"/>
            <w:gridSpan w:val="8"/>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根据三定方案职能，州市场监管局负责管理产品质量监督抽查、风险监控和分类监督管理工作；指导和协调产品质量的行业、地方和专业性监督；组织实施食品相关产品质量安全监督管理工作；负责全州纤维质量监督管理和行政执法工作。项目目标：产品质量监督抽检经费主要是委托检验机构进行产品质量检验。全年完成监督检验100批次，开展专项监督抽检1次。对抽检不合格产品的后处理率达到100%，产品质量监督抽查合格率达到90%，公开监督抽检结果1次。通过监督检查，提升了全州生产流通领域内的产品质量，提升了产品质量监管能力。</w:t>
            </w:r>
          </w:p>
        </w:tc>
      </w:tr>
      <w:tr>
        <w:tblPrEx>
          <w:tblLayout w:type="fixed"/>
          <w:tblCellMar>
            <w:top w:w="0" w:type="dxa"/>
            <w:left w:w="0" w:type="dxa"/>
            <w:bottom w:w="0" w:type="dxa"/>
            <w:right w:w="0" w:type="dxa"/>
          </w:tblCellMar>
        </w:tblPrEx>
        <w:trPr>
          <w:trHeight w:val="48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872" w:type="dxa"/>
            <w:gridSpan w:val="3"/>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8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全年完成监督检验批次数（次）</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≧100批次</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完成检查报告数量（个）</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全年开展专项监督抽检（次）</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≧1次</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对抽检不合格产品的后处理率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危化品生产企业（工业产品许可证）检查覆盖率（%）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年度检查任务按时完成率（%）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项目所需时间</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2021年1-12月</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抽检产品的检验业务成本（万元）</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≦43</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其他专项整治检验费（万元）</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≦7</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检查结果公开率（%）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公开监督抽检结果（次）</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问题整改落实率（%）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提升全州流通领域产品质量</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持续提升</w:t>
            </w:r>
          </w:p>
        </w:tc>
      </w:tr>
      <w:tr>
        <w:tblPrEx>
          <w:tblLayout w:type="fixed"/>
          <w:tblCellMar>
            <w:top w:w="0" w:type="dxa"/>
            <w:left w:w="0" w:type="dxa"/>
            <w:bottom w:w="0" w:type="dxa"/>
            <w:right w:w="0" w:type="dxa"/>
          </w:tblCellMar>
        </w:tblPrEx>
        <w:trPr>
          <w:trHeight w:val="440" w:hRule="atLeast"/>
        </w:trPr>
        <w:tc>
          <w:tcPr>
            <w:tcW w:w="8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群众满意度（%）</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≥95%</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检查人员被投诉次数（次）</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w:t>
            </w:r>
          </w:p>
        </w:tc>
      </w:tr>
      <w:tr>
        <w:tblPrEx>
          <w:tblLayout w:type="fixed"/>
          <w:tblCellMar>
            <w:top w:w="0" w:type="dxa"/>
            <w:left w:w="0" w:type="dxa"/>
            <w:bottom w:w="0" w:type="dxa"/>
            <w:right w:w="0" w:type="dxa"/>
          </w:tblCellMar>
        </w:tblPrEx>
        <w:trPr>
          <w:trHeight w:val="480" w:hRule="atLeast"/>
        </w:trPr>
        <w:tc>
          <w:tcPr>
            <w:tcW w:w="8815" w:type="dxa"/>
            <w:gridSpan w:val="9"/>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9"/>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40"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昌吉州市场监督管理局</w:t>
            </w:r>
          </w:p>
        </w:tc>
        <w:tc>
          <w:tcPr>
            <w:tcW w:w="9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特种设备安全监管经费</w:t>
            </w:r>
          </w:p>
        </w:tc>
      </w:tr>
      <w:tr>
        <w:tblPrEx>
          <w:tblLayout w:type="fixed"/>
          <w:tblCellMar>
            <w:top w:w="0" w:type="dxa"/>
            <w:left w:w="0" w:type="dxa"/>
            <w:bottom w:w="0" w:type="dxa"/>
            <w:right w:w="0" w:type="dxa"/>
          </w:tblCellMar>
        </w:tblPrEx>
        <w:trPr>
          <w:trHeight w:val="54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3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9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689"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972" w:type="dxa"/>
            <w:gridSpan w:val="8"/>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昌吉州市场监督管理局承担全州特种设备安全监管职能，下设特种设备安全监察科主要负责：拟定特种设备安全制度措施；对特种设备的设计、生产、经营、使用和检验检测进行全过程的监管，监督检查高耗能特种设备节能标准、锅炉环境保护标准的执行情况；按规定权限组织调查处理特种设备事故并进行统计分析；查处相关违法行为；监督管理特种设备检验检测机构和检验检测人员、作业人员；推动特种设备安全科技研究并推广应用。项目目标：依据《中华人民共和国特种设备安全法》等法律法规及安全技术规范，州市场监督管理局将于2021年在全州开展特种设备安全监察和专项治理，确保全州特种设备安全形势总体平稳。</w:t>
            </w:r>
          </w:p>
        </w:tc>
      </w:tr>
      <w:tr>
        <w:tblPrEx>
          <w:tblLayout w:type="fixed"/>
          <w:tblCellMar>
            <w:top w:w="0" w:type="dxa"/>
            <w:left w:w="0" w:type="dxa"/>
            <w:bottom w:w="0" w:type="dxa"/>
            <w:right w:w="0" w:type="dxa"/>
          </w:tblCellMar>
        </w:tblPrEx>
        <w:trPr>
          <w:trHeight w:val="48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872" w:type="dxa"/>
            <w:gridSpan w:val="3"/>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8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委托第三方机构对电梯维保单位进行维保质量抽查（家）</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检查频次（次）</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委托第三方机构开展危险化学品生产企业特种设备隐患排查（家）</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万台特种设备死亡率（%）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≤0.52%</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在用电梯抽查覆盖率（%）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电梯维保抽查合格率（%）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≥85%</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年度检查任务按时完成率（%）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项目开展时间</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2021年1-12月</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聘请第三方开展危险化学品生产企业特种设备隐患排查服务成本（万元）</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≦7</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委托第三方开展电梯维保质量抽查服务成本（万元）</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检查结果公开率（%）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不发生特种设备安全事故</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问题整改落实率（%）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持续提高全州特种设备安全监管能力</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w:t>
            </w:r>
          </w:p>
        </w:tc>
      </w:tr>
      <w:tr>
        <w:tblPrEx>
          <w:tblLayout w:type="fixed"/>
          <w:tblCellMar>
            <w:top w:w="0" w:type="dxa"/>
            <w:left w:w="0" w:type="dxa"/>
            <w:bottom w:w="0" w:type="dxa"/>
            <w:right w:w="0" w:type="dxa"/>
          </w:tblCellMar>
        </w:tblPrEx>
        <w:trPr>
          <w:trHeight w:val="440" w:hRule="atLeast"/>
        </w:trPr>
        <w:tc>
          <w:tcPr>
            <w:tcW w:w="8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满意度</w:t>
            </w:r>
          </w:p>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指标</w:t>
            </w: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公众满意度</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w:t>
            </w:r>
            <w:r>
              <w:rPr>
                <w:rFonts w:hint="eastAsia" w:ascii="宋体" w:hAnsi="宋体" w:cs="宋体"/>
                <w:color w:val="000000"/>
                <w:kern w:val="0"/>
                <w:sz w:val="18"/>
                <w:szCs w:val="18"/>
                <w:lang w:bidi="ar"/>
              </w:rPr>
              <w:t>95%</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检查人员被投诉次数（次）</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w:t>
            </w:r>
          </w:p>
        </w:tc>
      </w:tr>
      <w:tr>
        <w:tblPrEx>
          <w:tblLayout w:type="fixed"/>
          <w:tblCellMar>
            <w:top w:w="0" w:type="dxa"/>
            <w:left w:w="0" w:type="dxa"/>
            <w:bottom w:w="0" w:type="dxa"/>
            <w:right w:w="0" w:type="dxa"/>
          </w:tblCellMar>
        </w:tblPrEx>
        <w:trPr>
          <w:trHeight w:val="480" w:hRule="atLeast"/>
        </w:trPr>
        <w:tc>
          <w:tcPr>
            <w:tcW w:w="8815" w:type="dxa"/>
            <w:gridSpan w:val="9"/>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9"/>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40"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昌吉州市场监督管理局</w:t>
            </w:r>
          </w:p>
        </w:tc>
        <w:tc>
          <w:tcPr>
            <w:tcW w:w="9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ascii="宋体" w:hAnsi="宋体" w:cs="宋体"/>
                <w:color w:val="000000"/>
                <w:kern w:val="0"/>
                <w:sz w:val="18"/>
                <w:szCs w:val="18"/>
                <w:lang w:bidi="ar"/>
              </w:rPr>
              <w:t>“</w:t>
            </w:r>
            <w:r>
              <w:rPr>
                <w:rFonts w:hint="eastAsia" w:ascii="宋体" w:hAnsi="宋体" w:cs="宋体"/>
                <w:color w:val="000000"/>
                <w:kern w:val="0"/>
                <w:sz w:val="18"/>
                <w:szCs w:val="18"/>
                <w:lang w:bidi="ar"/>
              </w:rPr>
              <w:t>阳光食品</w:t>
            </w:r>
            <w:r>
              <w:rPr>
                <w:rFonts w:ascii="宋体" w:hAnsi="宋体" w:cs="宋体"/>
                <w:color w:val="000000"/>
                <w:kern w:val="0"/>
                <w:sz w:val="18"/>
                <w:szCs w:val="18"/>
                <w:lang w:bidi="ar"/>
              </w:rPr>
              <w:t>”</w:t>
            </w:r>
            <w:r>
              <w:rPr>
                <w:rFonts w:hint="eastAsia" w:ascii="宋体" w:hAnsi="宋体" w:cs="宋体"/>
                <w:color w:val="000000"/>
                <w:kern w:val="0"/>
                <w:sz w:val="18"/>
                <w:szCs w:val="18"/>
                <w:lang w:bidi="ar"/>
              </w:rPr>
              <w:t>PPP项目财政补贴资金</w:t>
            </w:r>
          </w:p>
        </w:tc>
      </w:tr>
      <w:tr>
        <w:tblPrEx>
          <w:tblLayout w:type="fixed"/>
          <w:tblCellMar>
            <w:top w:w="0" w:type="dxa"/>
            <w:left w:w="0" w:type="dxa"/>
            <w:bottom w:w="0" w:type="dxa"/>
            <w:right w:w="0" w:type="dxa"/>
          </w:tblCellMar>
        </w:tblPrEx>
        <w:trPr>
          <w:trHeight w:val="54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182</w:t>
            </w:r>
          </w:p>
        </w:tc>
        <w:tc>
          <w:tcPr>
            <w:tcW w:w="13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9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182</w:t>
            </w:r>
          </w:p>
        </w:tc>
        <w:tc>
          <w:tcPr>
            <w:tcW w:w="1689"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972" w:type="dxa"/>
            <w:gridSpan w:val="8"/>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根据三定方案，我单位负责食品生产企业规范企业生产过程管理，防控食品安全风险。负责全州食品经营监督管理工作，承担食品流通和餐饮领域的质量安全监管工作。加大对食品安全法律法规的宣传，同时积极应对食品安全突出问题，收集和解决老百姓关心的食品安全问题，逐步提高人民群众对我州食品安全的信任度和满意度，对有问题的企业严格监管并加以整改。2021年完成1500家企业的监控建设安装任务，累计完成11000家企业的监控建设安装任务，企业覆盖率达到70%，并顺利通过考核。2021年考核验收合格后支付合同款。</w:t>
            </w:r>
          </w:p>
        </w:tc>
      </w:tr>
      <w:tr>
        <w:tblPrEx>
          <w:tblLayout w:type="fixed"/>
          <w:tblCellMar>
            <w:top w:w="0" w:type="dxa"/>
            <w:left w:w="0" w:type="dxa"/>
            <w:bottom w:w="0" w:type="dxa"/>
            <w:right w:w="0" w:type="dxa"/>
          </w:tblCellMar>
        </w:tblPrEx>
        <w:trPr>
          <w:trHeight w:val="48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872" w:type="dxa"/>
            <w:gridSpan w:val="3"/>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8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验收完成监控建设安装的企业数量</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1500家</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企业覆盖率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≥70%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不合格产品及企业曝光率</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项目所需时间</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12月</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“阳光食品”PPP项目成本</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182万元</w:t>
            </w:r>
          </w:p>
        </w:tc>
      </w:tr>
      <w:tr>
        <w:tblPrEx>
          <w:tblLayout w:type="fixed"/>
          <w:tblCellMar>
            <w:top w:w="0" w:type="dxa"/>
            <w:left w:w="0" w:type="dxa"/>
            <w:bottom w:w="0" w:type="dxa"/>
            <w:right w:w="0" w:type="dxa"/>
          </w:tblCellMar>
        </w:tblPrEx>
        <w:trPr>
          <w:trHeight w:val="397"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提升食品行业安全、健康、有序发展</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逐年提升</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持续提高食品安全信息化监管能力</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持续提高</w:t>
            </w:r>
          </w:p>
        </w:tc>
      </w:tr>
      <w:tr>
        <w:tblPrEx>
          <w:tblLayout w:type="fixed"/>
          <w:tblCellMar>
            <w:top w:w="0" w:type="dxa"/>
            <w:left w:w="0" w:type="dxa"/>
            <w:bottom w:w="0" w:type="dxa"/>
            <w:right w:w="0" w:type="dxa"/>
          </w:tblCellMar>
        </w:tblPrEx>
        <w:trPr>
          <w:trHeight w:val="732"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满意度</w:t>
            </w:r>
          </w:p>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指标</w:t>
            </w: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3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社会公众满意度</w:t>
            </w:r>
          </w:p>
        </w:tc>
        <w:tc>
          <w:tcPr>
            <w:tcW w:w="287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≥90%</w:t>
            </w:r>
          </w:p>
        </w:tc>
      </w:tr>
      <w:tr>
        <w:tblPrEx>
          <w:tblLayout w:type="fixed"/>
          <w:tblCellMar>
            <w:top w:w="0" w:type="dxa"/>
            <w:left w:w="0" w:type="dxa"/>
            <w:bottom w:w="0" w:type="dxa"/>
            <w:right w:w="0" w:type="dxa"/>
          </w:tblCellMar>
        </w:tblPrEx>
        <w:trPr>
          <w:trHeight w:val="480" w:hRule="atLeast"/>
        </w:trPr>
        <w:tc>
          <w:tcPr>
            <w:tcW w:w="8815" w:type="dxa"/>
            <w:gridSpan w:val="9"/>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9"/>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269"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昌吉州市场监督管理局</w:t>
            </w:r>
          </w:p>
        </w:tc>
        <w:tc>
          <w:tcPr>
            <w:tcW w:w="10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知识产权管理与综合执法经费</w:t>
            </w:r>
          </w:p>
        </w:tc>
      </w:tr>
      <w:tr>
        <w:tblPrEx>
          <w:tblLayout w:type="fixed"/>
          <w:tblCellMar>
            <w:top w:w="0" w:type="dxa"/>
            <w:left w:w="0" w:type="dxa"/>
            <w:bottom w:w="0" w:type="dxa"/>
            <w:right w:w="0" w:type="dxa"/>
          </w:tblCellMar>
        </w:tblPrEx>
        <w:trPr>
          <w:trHeight w:val="54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c>
          <w:tcPr>
            <w:tcW w:w="147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972" w:type="dxa"/>
            <w:gridSpan w:val="8"/>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根据昌州党办字（2019）56号三定方案，主要职能是负责市场知识产权管理。对发明、外观设计、实用新型进行专利资助，为企业核心竞争力提供源源不断的动力支持。项目目标：组织开展知识产权管理和服务。组织辖区内的企业和个人专利参加国家、自治区专利奖评选；开展知识产权宣传和培训，全年开展大型知识产权宣传活动1次，组织各类知识产权培训班2次，培训人员100人。积极指导企业在重大创新、成果转化、人才引进等环节中加大知识产权分析评价力度，防控知识产权风险。专利授权800件。2021年全州知识产权侵权案件结案率达到85%以上。</w:t>
            </w:r>
          </w:p>
        </w:tc>
      </w:tr>
      <w:tr>
        <w:tblPrEx>
          <w:tblLayout w:type="fixed"/>
          <w:tblCellMar>
            <w:top w:w="0" w:type="dxa"/>
            <w:left w:w="0" w:type="dxa"/>
            <w:bottom w:w="0" w:type="dxa"/>
            <w:right w:w="0" w:type="dxa"/>
          </w:tblCellMar>
        </w:tblPrEx>
        <w:trPr>
          <w:trHeight w:val="48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8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数量指标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组织宣传培训</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3次</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专利授权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800件</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质量指标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万人有效发明专利拥有量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1.8件/万人</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案件办结率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≥85%</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时效指标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项目所需时间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12月</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成本指标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知识产权管理、宣传、培训、保护等成本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10万元</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临聘人员工资及社保</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20万元</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社会效益指标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知识产权管理域保护监管能力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逐步提高</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可持续影响指标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持续促进知识产权行业健康有序发展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w:t>
            </w:r>
          </w:p>
        </w:tc>
      </w:tr>
      <w:tr>
        <w:tblPrEx>
          <w:tblLayout w:type="fixed"/>
          <w:tblCellMar>
            <w:top w:w="0" w:type="dxa"/>
            <w:left w:w="0" w:type="dxa"/>
            <w:bottom w:w="0" w:type="dxa"/>
            <w:right w:w="0" w:type="dxa"/>
          </w:tblCellMar>
        </w:tblPrEx>
        <w:trPr>
          <w:trHeight w:val="707"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满意度</w:t>
            </w:r>
          </w:p>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指标</w:t>
            </w: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满意度指标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专利权人满意度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≥90%</w:t>
            </w:r>
          </w:p>
        </w:tc>
      </w:tr>
      <w:tr>
        <w:tblPrEx>
          <w:tblLayout w:type="fixed"/>
          <w:tblCellMar>
            <w:top w:w="0" w:type="dxa"/>
            <w:left w:w="0" w:type="dxa"/>
            <w:bottom w:w="0" w:type="dxa"/>
            <w:right w:w="0" w:type="dxa"/>
          </w:tblCellMar>
        </w:tblPrEx>
        <w:trPr>
          <w:trHeight w:val="480" w:hRule="atLeast"/>
        </w:trPr>
        <w:tc>
          <w:tcPr>
            <w:tcW w:w="8815" w:type="dxa"/>
            <w:gridSpan w:val="9"/>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9"/>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269"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昌吉州市场监督管理局</w:t>
            </w:r>
          </w:p>
        </w:tc>
        <w:tc>
          <w:tcPr>
            <w:tcW w:w="10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执法办案经费</w:t>
            </w:r>
          </w:p>
        </w:tc>
      </w:tr>
      <w:tr>
        <w:tblPrEx>
          <w:tblLayout w:type="fixed"/>
          <w:tblCellMar>
            <w:top w:w="0" w:type="dxa"/>
            <w:left w:w="0" w:type="dxa"/>
            <w:bottom w:w="0" w:type="dxa"/>
            <w:right w:w="0" w:type="dxa"/>
          </w:tblCellMar>
        </w:tblPrEx>
        <w:trPr>
          <w:trHeight w:val="54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c>
          <w:tcPr>
            <w:tcW w:w="147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972" w:type="dxa"/>
            <w:gridSpan w:val="8"/>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根据昌州党办字（2019）56号三定方案，昌吉州市场监督管理局局规格处级，负责本行政区域内的市场监督管理、行政执法工作。持续推动食品、药品、特种设备和产品质量安全应急体系建设，组织州食安委及成员单位负责人考察学习“国家食品安全示范城市”创建先进经验。强化食品安全监管能力，提升食品安全应急处置能力。承担辖区内直接面向市场主体、直接面向消费者的执法事项，包括食品、药品、特种设备等产品的经营、销售、使用以及商标侵权、假冒专利、价格违法行为的行政检查、行政强制、行政处罚等行政执法职责保护消费者合法权益。组织实施网络市场监测工作，抖音、快手等短视频网络直播带货网站和去极端化专项监测。</w:t>
            </w:r>
          </w:p>
        </w:tc>
      </w:tr>
      <w:tr>
        <w:tblPrEx>
          <w:tblLayout w:type="fixed"/>
          <w:tblCellMar>
            <w:top w:w="0" w:type="dxa"/>
            <w:left w:w="0" w:type="dxa"/>
            <w:bottom w:w="0" w:type="dxa"/>
            <w:right w:w="0" w:type="dxa"/>
          </w:tblCellMar>
        </w:tblPrEx>
        <w:trPr>
          <w:trHeight w:val="48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8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开展执法检查行动次数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100人次</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定向监测次数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4次</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食品安全示范城市创建培训</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1次</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案件办结率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市场监管业务相关知识宣传覆盖率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≥90%</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项目所需时间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12个月</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执法办案经费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10万元</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市场监管业务成本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20万元</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营造公平有序的市场经济环境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逐年增强</w:t>
            </w:r>
          </w:p>
        </w:tc>
      </w:tr>
      <w:tr>
        <w:tblPrEx>
          <w:tblLayout w:type="fixed"/>
          <w:tblCellMar>
            <w:top w:w="0" w:type="dxa"/>
            <w:left w:w="0" w:type="dxa"/>
            <w:bottom w:w="0" w:type="dxa"/>
            <w:right w:w="0" w:type="dxa"/>
          </w:tblCellMar>
        </w:tblPrEx>
        <w:trPr>
          <w:trHeight w:val="440" w:hRule="atLeast"/>
        </w:trPr>
        <w:tc>
          <w:tcPr>
            <w:tcW w:w="8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持续提升综合监管执法能力、水平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w:t>
            </w:r>
          </w:p>
        </w:tc>
      </w:tr>
      <w:tr>
        <w:tblPrEx>
          <w:tblLayout w:type="fixed"/>
          <w:tblCellMar>
            <w:top w:w="0" w:type="dxa"/>
            <w:left w:w="0" w:type="dxa"/>
            <w:bottom w:w="0" w:type="dxa"/>
            <w:right w:w="0" w:type="dxa"/>
          </w:tblCellMar>
        </w:tblPrEx>
        <w:trPr>
          <w:trHeight w:val="440" w:hRule="atLeast"/>
        </w:trPr>
        <w:tc>
          <w:tcPr>
            <w:tcW w:w="8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满意度</w:t>
            </w:r>
          </w:p>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指标</w:t>
            </w:r>
          </w:p>
        </w:tc>
        <w:tc>
          <w:tcPr>
            <w:tcW w:w="156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社会公众满意度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≥90%</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 w:hAnsi="仿宋" w:eastAsia="仿宋" w:cs="仿宋"/>
          <w:sz w:val="32"/>
          <w:szCs w:val="32"/>
        </w:rPr>
        <w:t>根据《关于自治州市场监管综合行政执法改革有关机构编制事宜的通知》（昌州党机编发（2019）85号）精神，将自治州质量技术监督稽查队、自治州食品药品安全稽查支队进行整合，组建“自治州市场监管综合执法队”，在自治州市场监督管理局加挂“自治州市场监管综合执法队”牌子，实行“局队合一”体制，以州市场监督管理局的名义执法。不再保留自治州质量技术监督稽查队、自治州食品药品安全稽查支队。</w:t>
      </w: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5440" w:hanging="5440" w:hangingChars="17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昌吉州市场监督管理局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C51557"/>
    <w:multiLevelType w:val="singleLevel"/>
    <w:tmpl w:val="85C51557"/>
    <w:lvl w:ilvl="0" w:tentative="0">
      <w:start w:val="8"/>
      <w:numFmt w:val="decimal"/>
      <w:suff w:val="nothing"/>
      <w:lvlText w:val="%1、"/>
      <w:lvlJc w:val="left"/>
    </w:lvl>
  </w:abstractNum>
  <w:abstractNum w:abstractNumId="1">
    <w:nsid w:val="FD075A30"/>
    <w:multiLevelType w:val="singleLevel"/>
    <w:tmpl w:val="FD075A30"/>
    <w:lvl w:ilvl="0" w:tentative="0">
      <w:start w:val="1"/>
      <w:numFmt w:val="chineseCounting"/>
      <w:suff w:val="nothing"/>
      <w:lvlText w:val="%1、"/>
      <w:lvlJc w:val="left"/>
      <w:pPr>
        <w:ind w:left="64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3213D"/>
    <w:rsid w:val="000C560D"/>
    <w:rsid w:val="000C6FBF"/>
    <w:rsid w:val="000D531A"/>
    <w:rsid w:val="000F3B60"/>
    <w:rsid w:val="0011450F"/>
    <w:rsid w:val="001747C9"/>
    <w:rsid w:val="00223EA5"/>
    <w:rsid w:val="00261065"/>
    <w:rsid w:val="002E7530"/>
    <w:rsid w:val="00321E8A"/>
    <w:rsid w:val="003679D2"/>
    <w:rsid w:val="0040645E"/>
    <w:rsid w:val="00452A86"/>
    <w:rsid w:val="00477E5B"/>
    <w:rsid w:val="005320EE"/>
    <w:rsid w:val="005602EA"/>
    <w:rsid w:val="00567073"/>
    <w:rsid w:val="0059125F"/>
    <w:rsid w:val="005919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D85033"/>
    <w:rsid w:val="00DA2829"/>
    <w:rsid w:val="00E51C21"/>
    <w:rsid w:val="00EC7830"/>
    <w:rsid w:val="00F105A9"/>
    <w:rsid w:val="00F54183"/>
    <w:rsid w:val="01F84D9E"/>
    <w:rsid w:val="02C673F0"/>
    <w:rsid w:val="03FF7597"/>
    <w:rsid w:val="04622923"/>
    <w:rsid w:val="0554312B"/>
    <w:rsid w:val="05A91A99"/>
    <w:rsid w:val="0622122C"/>
    <w:rsid w:val="069E34EE"/>
    <w:rsid w:val="095351C7"/>
    <w:rsid w:val="0A7F2B34"/>
    <w:rsid w:val="0AE65E79"/>
    <w:rsid w:val="0CB62BAF"/>
    <w:rsid w:val="0CC84FE2"/>
    <w:rsid w:val="0D0A269F"/>
    <w:rsid w:val="0D183B59"/>
    <w:rsid w:val="0D2846CE"/>
    <w:rsid w:val="0DF01582"/>
    <w:rsid w:val="0E51334D"/>
    <w:rsid w:val="10C82A84"/>
    <w:rsid w:val="11B04C1D"/>
    <w:rsid w:val="121B74A9"/>
    <w:rsid w:val="12593400"/>
    <w:rsid w:val="12F2237B"/>
    <w:rsid w:val="14381C3D"/>
    <w:rsid w:val="15B46BE9"/>
    <w:rsid w:val="16CF2194"/>
    <w:rsid w:val="18783650"/>
    <w:rsid w:val="19C90F01"/>
    <w:rsid w:val="1A7846C6"/>
    <w:rsid w:val="1B413998"/>
    <w:rsid w:val="1B925B11"/>
    <w:rsid w:val="1E1A0EC2"/>
    <w:rsid w:val="1E3019DB"/>
    <w:rsid w:val="1E5F4FF1"/>
    <w:rsid w:val="1F9274C7"/>
    <w:rsid w:val="20852056"/>
    <w:rsid w:val="21B816A1"/>
    <w:rsid w:val="221E08CF"/>
    <w:rsid w:val="22501B4A"/>
    <w:rsid w:val="227723D2"/>
    <w:rsid w:val="23B227C3"/>
    <w:rsid w:val="24247715"/>
    <w:rsid w:val="24F43E8B"/>
    <w:rsid w:val="255F4ACE"/>
    <w:rsid w:val="25A528F7"/>
    <w:rsid w:val="26BD0647"/>
    <w:rsid w:val="26D01AF5"/>
    <w:rsid w:val="291275F2"/>
    <w:rsid w:val="292535AD"/>
    <w:rsid w:val="2A1E6393"/>
    <w:rsid w:val="2A5F3D4B"/>
    <w:rsid w:val="2B2C119B"/>
    <w:rsid w:val="2C6923E7"/>
    <w:rsid w:val="2CF27FE6"/>
    <w:rsid w:val="2EC236F8"/>
    <w:rsid w:val="2F1A5535"/>
    <w:rsid w:val="2F667954"/>
    <w:rsid w:val="2F6B62C2"/>
    <w:rsid w:val="2FC11459"/>
    <w:rsid w:val="308254E2"/>
    <w:rsid w:val="324F05A2"/>
    <w:rsid w:val="33E4625B"/>
    <w:rsid w:val="36BB712B"/>
    <w:rsid w:val="37DB727A"/>
    <w:rsid w:val="39A2175C"/>
    <w:rsid w:val="3A4662FB"/>
    <w:rsid w:val="3A8851AD"/>
    <w:rsid w:val="3C251C95"/>
    <w:rsid w:val="3C4828A0"/>
    <w:rsid w:val="3CC71487"/>
    <w:rsid w:val="3D7A5639"/>
    <w:rsid w:val="3F9E71AC"/>
    <w:rsid w:val="3FEC3A69"/>
    <w:rsid w:val="427E1536"/>
    <w:rsid w:val="432318B8"/>
    <w:rsid w:val="44084D10"/>
    <w:rsid w:val="44A10DEF"/>
    <w:rsid w:val="466062F5"/>
    <w:rsid w:val="47016A4A"/>
    <w:rsid w:val="4896523F"/>
    <w:rsid w:val="496338E0"/>
    <w:rsid w:val="4AE950D5"/>
    <w:rsid w:val="4C9F4875"/>
    <w:rsid w:val="4FA734E5"/>
    <w:rsid w:val="52F87ADE"/>
    <w:rsid w:val="530C00B1"/>
    <w:rsid w:val="563606D3"/>
    <w:rsid w:val="56C401B6"/>
    <w:rsid w:val="57896FE1"/>
    <w:rsid w:val="57B06BCC"/>
    <w:rsid w:val="58E077A2"/>
    <w:rsid w:val="59AD07EE"/>
    <w:rsid w:val="5AE91447"/>
    <w:rsid w:val="5B0765E5"/>
    <w:rsid w:val="5CD709AA"/>
    <w:rsid w:val="5DAD71A0"/>
    <w:rsid w:val="5DC74F48"/>
    <w:rsid w:val="5DED3A2A"/>
    <w:rsid w:val="5E362322"/>
    <w:rsid w:val="5E69181C"/>
    <w:rsid w:val="5F5506B0"/>
    <w:rsid w:val="60D91149"/>
    <w:rsid w:val="648F59CB"/>
    <w:rsid w:val="655A2FA7"/>
    <w:rsid w:val="662B6297"/>
    <w:rsid w:val="66A23876"/>
    <w:rsid w:val="6732363B"/>
    <w:rsid w:val="680906FC"/>
    <w:rsid w:val="68BA5BE1"/>
    <w:rsid w:val="6ACA798B"/>
    <w:rsid w:val="6BE404D0"/>
    <w:rsid w:val="6DD22657"/>
    <w:rsid w:val="6E7628F7"/>
    <w:rsid w:val="6F252DCE"/>
    <w:rsid w:val="6F642447"/>
    <w:rsid w:val="6FB32D55"/>
    <w:rsid w:val="70937CC9"/>
    <w:rsid w:val="713028D0"/>
    <w:rsid w:val="71432605"/>
    <w:rsid w:val="723D3065"/>
    <w:rsid w:val="74483746"/>
    <w:rsid w:val="746E733E"/>
    <w:rsid w:val="755B6091"/>
    <w:rsid w:val="76886658"/>
    <w:rsid w:val="7A8D219D"/>
    <w:rsid w:val="7B22095E"/>
    <w:rsid w:val="7C8C0D19"/>
    <w:rsid w:val="7DEE3306"/>
    <w:rsid w:val="7E6B6E52"/>
    <w:rsid w:val="7F820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1"/>
    <w:semiHidden/>
    <w:qFormat/>
    <w:uiPriority w:val="0"/>
    <w:rPr>
      <w:rFonts w:asciiTheme="minorHAnsi" w:hAnsiTheme="minorHAnsi" w:eastAsiaTheme="minorEastAsia" w:cstheme="minorBidi"/>
      <w:sz w:val="18"/>
      <w:szCs w:val="18"/>
    </w:rPr>
  </w:style>
  <w:style w:type="paragraph" w:styleId="3">
    <w:name w:val="footer"/>
    <w:basedOn w:val="1"/>
    <w:link w:val="10"/>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9"/>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styleId="8">
    <w:name w:val="Strong"/>
    <w:basedOn w:val="7"/>
    <w:qFormat/>
    <w:uiPriority w:val="0"/>
    <w:rPr>
      <w:rFonts w:cs="Times New Roman"/>
      <w:b/>
      <w:bCs/>
    </w:rPr>
  </w:style>
  <w:style w:type="character" w:customStyle="1" w:styleId="9">
    <w:name w:val="正文文本缩进 3 Char"/>
    <w:link w:val="5"/>
    <w:qFormat/>
    <w:uiPriority w:val="0"/>
    <w:rPr>
      <w:rFonts w:eastAsia="仿宋_GB2312"/>
      <w:sz w:val="32"/>
      <w:szCs w:val="24"/>
    </w:rPr>
  </w:style>
  <w:style w:type="character" w:customStyle="1" w:styleId="10">
    <w:name w:val="页脚 Char"/>
    <w:link w:val="3"/>
    <w:qFormat/>
    <w:uiPriority w:val="99"/>
    <w:rPr>
      <w:rFonts w:eastAsia="黑体"/>
      <w:sz w:val="18"/>
      <w:szCs w:val="18"/>
    </w:rPr>
  </w:style>
  <w:style w:type="character" w:customStyle="1" w:styleId="11">
    <w:name w:val="批注框文本 Char"/>
    <w:link w:val="2"/>
    <w:semiHidden/>
    <w:qFormat/>
    <w:uiPriority w:val="0"/>
    <w:rPr>
      <w:sz w:val="18"/>
      <w:szCs w:val="18"/>
    </w:rPr>
  </w:style>
  <w:style w:type="character" w:customStyle="1" w:styleId="12">
    <w:name w:val="页眉 Char"/>
    <w:link w:val="4"/>
    <w:qFormat/>
    <w:uiPriority w:val="0"/>
    <w:rPr>
      <w:sz w:val="18"/>
      <w:szCs w:val="18"/>
    </w:rPr>
  </w:style>
  <w:style w:type="character" w:customStyle="1" w:styleId="13">
    <w:name w:val="页眉 Char1"/>
    <w:basedOn w:val="7"/>
    <w:semiHidden/>
    <w:qFormat/>
    <w:uiPriority w:val="99"/>
    <w:rPr>
      <w:rFonts w:ascii="Times New Roman" w:hAnsi="Times New Roman" w:eastAsia="宋体" w:cs="Times New Roman"/>
      <w:sz w:val="18"/>
      <w:szCs w:val="18"/>
    </w:rPr>
  </w:style>
  <w:style w:type="character" w:customStyle="1" w:styleId="14">
    <w:name w:val="正文文本缩进 3 Char1"/>
    <w:basedOn w:val="7"/>
    <w:semiHidden/>
    <w:qFormat/>
    <w:uiPriority w:val="99"/>
    <w:rPr>
      <w:rFonts w:ascii="Times New Roman" w:hAnsi="Times New Roman" w:eastAsia="宋体" w:cs="Times New Roman"/>
      <w:sz w:val="16"/>
      <w:szCs w:val="16"/>
    </w:rPr>
  </w:style>
  <w:style w:type="character" w:customStyle="1" w:styleId="15">
    <w:name w:val="页脚 Char1"/>
    <w:basedOn w:val="7"/>
    <w:semiHidden/>
    <w:qFormat/>
    <w:uiPriority w:val="99"/>
    <w:rPr>
      <w:rFonts w:ascii="Times New Roman" w:hAnsi="Times New Roman" w:eastAsia="宋体" w:cs="Times New Roman"/>
      <w:sz w:val="18"/>
      <w:szCs w:val="18"/>
    </w:rPr>
  </w:style>
  <w:style w:type="character" w:customStyle="1" w:styleId="16">
    <w:name w:val="批注框文本 Char1"/>
    <w:basedOn w:val="7"/>
    <w:semiHidden/>
    <w:qFormat/>
    <w:uiPriority w:val="99"/>
    <w:rPr>
      <w:rFonts w:ascii="Times New Roman" w:hAnsi="Times New Roman" w:eastAsia="宋体" w:cs="Times New Roman"/>
      <w:sz w:val="18"/>
      <w:szCs w:val="18"/>
    </w:rPr>
  </w:style>
  <w:style w:type="character" w:customStyle="1" w:styleId="17">
    <w:name w:val="font41"/>
    <w:basedOn w:val="7"/>
    <w:qFormat/>
    <w:uiPriority w:val="0"/>
    <w:rPr>
      <w:rFonts w:ascii="宋体" w:hAnsi="宋体" w:eastAsia="宋体" w:cs="宋体"/>
      <w:color w:val="000000"/>
      <w:sz w:val="22"/>
      <w:szCs w:val="22"/>
      <w:u w:val="none"/>
    </w:rPr>
  </w:style>
  <w:style w:type="character" w:customStyle="1" w:styleId="18">
    <w:name w:val="font21"/>
    <w:basedOn w:val="7"/>
    <w:qFormat/>
    <w:uiPriority w:val="0"/>
    <w:rPr>
      <w:rFonts w:hint="eastAsia" w:ascii="宋体" w:hAnsi="宋体" w:eastAsia="宋体" w:cs="宋体"/>
      <w:color w:val="000000"/>
      <w:sz w:val="22"/>
      <w:szCs w:val="22"/>
      <w:u w:val="none"/>
    </w:rPr>
  </w:style>
  <w:style w:type="character" w:customStyle="1" w:styleId="19">
    <w:name w:val="font11"/>
    <w:basedOn w:val="7"/>
    <w:qFormat/>
    <w:uiPriority w:val="0"/>
    <w:rPr>
      <w:rFonts w:ascii="宋体" w:hAnsi="宋体" w:eastAsia="宋体" w:cs="宋体"/>
      <w:color w:val="000000"/>
      <w:sz w:val="22"/>
      <w:szCs w:val="22"/>
      <w:u w:val="none"/>
    </w:rPr>
  </w:style>
  <w:style w:type="character" w:customStyle="1" w:styleId="20">
    <w:name w:val="font01"/>
    <w:basedOn w:val="7"/>
    <w:qFormat/>
    <w:uiPriority w:val="0"/>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699E10-B238-4D5A-9246-F99C4B27FAD8}">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45</Pages>
  <Words>3623</Words>
  <Characters>20654</Characters>
  <Lines>172</Lines>
  <Paragraphs>48</Paragraphs>
  <TotalTime>47</TotalTime>
  <ScaleCrop>false</ScaleCrop>
  <LinksUpToDate>false</LinksUpToDate>
  <CharactersWithSpaces>24229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Administrator</cp:lastModifiedBy>
  <cp:lastPrinted>2021-04-13T09:17:00Z</cp:lastPrinted>
  <dcterms:modified xsi:type="dcterms:W3CDTF">2023-09-25T11:57:53Z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