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bookmarkStart w:id="0" w:name="_GoBack"/>
      <w:bookmarkEnd w:id="0"/>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昌吉州水利局</w:t>
      </w:r>
      <w:r>
        <w:rPr>
          <w:rFonts w:hint="eastAsia" w:ascii="方正小标宋_GBK" w:hAnsi="宋体" w:eastAsia="方正小标宋_GBK"/>
          <w:kern w:val="0"/>
          <w:sz w:val="44"/>
          <w:szCs w:val="44"/>
          <w:lang w:val="en-US" w:eastAsia="zh-CN"/>
        </w:rPr>
        <w:t>2022年部门</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keepNext w:val="0"/>
        <w:keepLines w:val="0"/>
        <w:pageBreakBefore w:val="0"/>
        <w:widowControl/>
        <w:kinsoku/>
        <w:wordWrap/>
        <w:overflowPunct/>
        <w:topLinePunct w:val="0"/>
        <w:autoSpaceDE/>
        <w:autoSpaceDN/>
        <w:bidi w:val="0"/>
        <w:adjustRightInd/>
        <w:snapToGrid w:val="0"/>
        <w:spacing w:line="560" w:lineRule="exact"/>
        <w:ind w:firstLine="643" w:firstLineChars="200"/>
        <w:textAlignment w:val="baseline"/>
        <w:rPr>
          <w:rFonts w:ascii="仿宋_GB2312" w:hAnsi="宋体" w:eastAsia="仿宋_GB2312"/>
          <w:b/>
          <w:kern w:val="0"/>
          <w:sz w:val="32"/>
          <w:szCs w:val="32"/>
        </w:rPr>
      </w:pPr>
      <w:r>
        <w:rPr>
          <w:rFonts w:hint="eastAsia" w:ascii="仿宋_GB2312" w:hAnsi="宋体" w:eastAsia="仿宋_GB2312"/>
          <w:b/>
          <w:kern w:val="0"/>
          <w:sz w:val="32"/>
          <w:szCs w:val="32"/>
        </w:rPr>
        <w:t>第一部分  昌吉州水利局概况</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一、主要职能</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val="0"/>
        <w:spacing w:line="560" w:lineRule="exact"/>
        <w:ind w:firstLine="643" w:firstLineChars="200"/>
        <w:textAlignment w:val="baseline"/>
        <w:rPr>
          <w:rFonts w:ascii="仿宋_GB2312" w:hAnsi="宋体" w:eastAsia="仿宋_GB2312"/>
          <w:b/>
          <w:kern w:val="0"/>
          <w:sz w:val="32"/>
          <w:szCs w:val="32"/>
        </w:rPr>
      </w:pPr>
      <w:r>
        <w:rPr>
          <w:rFonts w:hint="eastAsia" w:ascii="仿宋_GB2312" w:hAnsi="宋体" w:eastAsia="仿宋_GB2312"/>
          <w:b/>
          <w:kern w:val="0"/>
          <w:sz w:val="32"/>
          <w:szCs w:val="32"/>
        </w:rPr>
        <w:t>第二部分  202</w:t>
      </w:r>
      <w:r>
        <w:rPr>
          <w:rFonts w:hint="eastAsia" w:ascii="仿宋_GB2312" w:hAnsi="宋体" w:eastAsia="仿宋_GB2312"/>
          <w:b/>
          <w:kern w:val="0"/>
          <w:sz w:val="32"/>
          <w:szCs w:val="32"/>
          <w:lang w:val="en-US" w:eastAsia="zh-CN"/>
        </w:rPr>
        <w:t>2</w:t>
      </w:r>
      <w:r>
        <w:rPr>
          <w:rFonts w:hint="eastAsia" w:ascii="仿宋_GB2312" w:hAnsi="宋体" w:eastAsia="仿宋_GB2312"/>
          <w:b/>
          <w:kern w:val="0"/>
          <w:sz w:val="32"/>
          <w:szCs w:val="32"/>
        </w:rPr>
        <w:t>年部门（单位）预算公开表</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一、昌吉州水利局收支总体情况表</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二、昌吉州水利局收入总体情况表</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三、昌吉州水利局支出总体情况表</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snapToGrid w:val="0"/>
        <w:spacing w:line="560" w:lineRule="exact"/>
        <w:ind w:firstLine="643" w:firstLineChars="200"/>
        <w:textAlignment w:val="baseline"/>
        <w:rPr>
          <w:rFonts w:ascii="仿宋_GB2312" w:hAnsi="宋体" w:eastAsia="仿宋_GB2312"/>
          <w:b/>
          <w:kern w:val="0"/>
          <w:sz w:val="32"/>
          <w:szCs w:val="32"/>
        </w:rPr>
      </w:pPr>
      <w:r>
        <w:rPr>
          <w:rFonts w:hint="eastAsia" w:ascii="仿宋_GB2312" w:hAnsi="宋体" w:eastAsia="仿宋_GB2312"/>
          <w:b/>
          <w:kern w:val="0"/>
          <w:sz w:val="32"/>
          <w:szCs w:val="32"/>
        </w:rPr>
        <w:t>第三部分  202</w:t>
      </w:r>
      <w:r>
        <w:rPr>
          <w:rFonts w:hint="eastAsia" w:ascii="仿宋_GB2312" w:hAnsi="宋体" w:eastAsia="仿宋_GB2312"/>
          <w:b/>
          <w:kern w:val="0"/>
          <w:sz w:val="32"/>
          <w:szCs w:val="32"/>
          <w:lang w:val="en-US" w:eastAsia="zh-CN"/>
        </w:rPr>
        <w:t>2</w:t>
      </w:r>
      <w:r>
        <w:rPr>
          <w:rFonts w:hint="eastAsia" w:ascii="仿宋_GB2312" w:hAnsi="宋体" w:eastAsia="仿宋_GB2312"/>
          <w:b/>
          <w:kern w:val="0"/>
          <w:sz w:val="32"/>
          <w:szCs w:val="32"/>
        </w:rPr>
        <w:t>年部门（单位）预算情况说明</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一、关于昌吉州水利局202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二、关于昌吉州水利局202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年收入预算情况说明</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三、关于昌吉州水利局202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年支出预算情况说明</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昌吉州水利局202</w:t>
      </w:r>
      <w:r>
        <w:rPr>
          <w:rFonts w:hint="eastAsia" w:ascii="仿宋_GB2312" w:hAnsi="宋体" w:eastAsia="仿宋_GB2312"/>
          <w:kern w:val="0"/>
          <w:sz w:val="32"/>
          <w:szCs w:val="32"/>
          <w:lang w:val="en-US" w:eastAsia="zh-CN"/>
        </w:rPr>
        <w:t>2</w:t>
      </w:r>
      <w:r>
        <w:rPr>
          <w:rFonts w:hint="eastAsia" w:ascii="仿宋_GB2312" w:hAnsi="宋体" w:eastAsia="仿宋_GB2312"/>
          <w:bCs/>
          <w:kern w:val="0"/>
          <w:sz w:val="32"/>
          <w:szCs w:val="32"/>
        </w:rPr>
        <w:t>年财政拨款收支预算情况的总体说明</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五、关于昌吉州水利局202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六、关于昌吉州水利局202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七、关于昌吉州水利局202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年一般公共预算项目支出情况说明</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八、关于昌吉州水利局202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九、关于昌吉州水利局202</w:t>
      </w:r>
      <w:r>
        <w:rPr>
          <w:rFonts w:hint="eastAsia" w:ascii="仿宋_GB2312" w:hAnsi="宋体" w:eastAsia="仿宋_GB2312"/>
          <w:kern w:val="0"/>
          <w:sz w:val="32"/>
          <w:szCs w:val="32"/>
          <w:lang w:val="en-US" w:eastAsia="zh-CN"/>
        </w:rPr>
        <w:t>2</w:t>
      </w:r>
      <w:r>
        <w:rPr>
          <w:rFonts w:hint="eastAsia" w:ascii="仿宋_GB2312" w:hAnsi="宋体" w:eastAsia="仿宋_GB2312"/>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textAlignment w:val="baseline"/>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val="0"/>
        <w:spacing w:line="560" w:lineRule="exact"/>
        <w:ind w:firstLine="643" w:firstLineChars="200"/>
        <w:textAlignment w:val="baseline"/>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spacing w:line="560" w:lineRule="exact"/>
        <w:ind w:firstLine="643" w:firstLineChars="200"/>
        <w:rPr>
          <w:rFonts w:ascii="仿宋_GB2312" w:hAnsi="仿宋_GB2312" w:eastAsia="仿宋_GB2312" w:cs="仿宋_GB2312"/>
          <w:b/>
          <w:kern w:val="0"/>
          <w:sz w:val="32"/>
          <w:szCs w:val="32"/>
        </w:rPr>
      </w:pP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昌吉州水利局单位</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numPr>
          <w:ilvl w:val="0"/>
          <w:numId w:val="1"/>
        </w:numPr>
        <w:spacing w:line="540" w:lineRule="exact"/>
        <w:ind w:firstLine="643" w:firstLineChars="200"/>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主要职能</w:t>
      </w:r>
    </w:p>
    <w:p>
      <w:pPr>
        <w:widowControl/>
        <w:numPr>
          <w:ilvl w:val="0"/>
          <w:numId w:val="0"/>
        </w:numPr>
        <w:spacing w:line="540" w:lineRule="exact"/>
        <w:ind w:firstLine="640" w:firstLineChars="200"/>
        <w:jc w:val="left"/>
        <w:rPr>
          <w:rFonts w:ascii="仿宋_GB2312" w:hAnsi="宋体" w:eastAsia="仿宋_GB2312" w:cs="宋体"/>
          <w:bCs/>
          <w:kern w:val="0"/>
          <w:sz w:val="32"/>
          <w:szCs w:val="32"/>
        </w:rPr>
      </w:pPr>
      <w:r>
        <w:rPr>
          <w:rFonts w:hint="eastAsia" w:ascii="仿宋_GB2312" w:hAnsi="黑体" w:eastAsia="仿宋_GB2312" w:cs="宋体"/>
          <w:bCs/>
          <w:kern w:val="0"/>
          <w:sz w:val="32"/>
          <w:szCs w:val="32"/>
        </w:rPr>
        <w:t>（1）负责全社会节约用水工作。（2）负责生活、生产经营和生态环境用水的统筹兼顾和保障。（3）负责保障水资源的合理开发利用。（4）指导水资源保护工作。（5）指导水利设施、水域及其岸线的管理、保护与综合利用。（6）按规定制定水利工程建设有关制度并组织实施，负责提出水利固定资产投资规模、方向、具体安排意见并组织实施，按规定权限审查、审批规划内河年度计划规模内固定资产投资项目，提出水利资金安排建议并负责项目实施的监督管理。（7）负责水土保持工作。（8）指导农村水利工作。（9）指导监督水利工程建设与运行管理。（10）开展水利科技工作。（11）负责落实综合防灾减灾规划相关要求，组织编制洪水干旱灾害防治规划和防护标准并指导实施；承担水情旱情预报工作；组织编制重要河流湖泊和重要水利工程的防御洪水抗御旱灾调度以及应急水量调度方案，按程序报批并组织实施；承担防御洪水应急抢险的技术支撑工作。（12）负责涉水违法事件的查处，协调和仲裁县市水事纠纷，指导水政监察和水行政执法。（13）监督检查水利重大政策、决策部署和重点工作的贯彻落实情况；依法负责水利行业安全生产工作，组织指导水库、水电站大坝、农村水电站的安全监管；指导水利建设市场的监督管理，组织实施水利工程建设的监督。（14）完成自治州党委、人民政府交办的其他任务。</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napToGrid w:val="0"/>
        <w:spacing w:line="560" w:lineRule="exact"/>
        <w:ind w:firstLine="640"/>
        <w:jc w:val="left"/>
        <w:textAlignment w:val="baseline"/>
        <w:rPr>
          <w:rFonts w:ascii="仿宋_GB2312" w:hAnsi="黑体" w:eastAsia="仿宋_GB2312" w:cs="宋体"/>
          <w:bCs/>
          <w:kern w:val="0"/>
          <w:sz w:val="32"/>
          <w:szCs w:val="32"/>
        </w:rPr>
      </w:pPr>
      <w:r>
        <w:rPr>
          <w:rFonts w:hint="eastAsia" w:ascii="仿宋_GB2312" w:hAnsi="宋体" w:eastAsia="仿宋_GB2312" w:cs="宋体"/>
          <w:kern w:val="0"/>
          <w:sz w:val="32"/>
          <w:szCs w:val="32"/>
        </w:rPr>
        <w:t xml:space="preserve">   昌吉州水利局</w:t>
      </w:r>
      <w:r>
        <w:rPr>
          <w:rFonts w:hint="eastAsia" w:ascii="仿宋_GB2312" w:hAnsi="黑体" w:eastAsia="仿宋_GB2312" w:cs="宋体"/>
          <w:bCs/>
          <w:kern w:val="0"/>
          <w:sz w:val="32"/>
          <w:szCs w:val="32"/>
        </w:rPr>
        <w:t>无下属预算单位，下设10个处室，分别是：办公室、组织人事科、规划计划监督科、水资源管理科、工程建设科、河湖管理科、</w:t>
      </w:r>
      <w:r>
        <w:rPr>
          <w:rFonts w:hint="eastAsia" w:ascii="仿宋" w:hAnsi="仿宋" w:eastAsia="仿宋" w:cs="仿宋"/>
          <w:color w:val="000000"/>
          <w:sz w:val="32"/>
          <w:szCs w:val="32"/>
        </w:rPr>
        <w:t>水旱灾害防御中心</w:t>
      </w:r>
      <w:r>
        <w:rPr>
          <w:rFonts w:hint="eastAsia" w:ascii="仿宋_GB2312" w:hAnsi="黑体" w:eastAsia="仿宋_GB2312" w:cs="宋体"/>
          <w:bCs/>
          <w:kern w:val="0"/>
          <w:sz w:val="32"/>
          <w:szCs w:val="32"/>
        </w:rPr>
        <w:t>，</w:t>
      </w:r>
      <w:r>
        <w:rPr>
          <w:rFonts w:hint="eastAsia" w:ascii="仿宋" w:hAnsi="仿宋" w:eastAsia="仿宋" w:cs="仿宋"/>
          <w:color w:val="000000"/>
          <w:sz w:val="32"/>
          <w:szCs w:val="32"/>
        </w:rPr>
        <w:t>水政监察支队、水利工程质量监督站、</w:t>
      </w:r>
      <w:r>
        <w:rPr>
          <w:rFonts w:hint="eastAsia" w:ascii="仿宋_GB2312" w:hAnsi="黑体" w:eastAsia="仿宋_GB2312" w:cs="宋体"/>
          <w:bCs/>
          <w:kern w:val="0"/>
          <w:sz w:val="32"/>
          <w:szCs w:val="32"/>
        </w:rPr>
        <w:t>重点水利建设管理处。</w:t>
      </w:r>
    </w:p>
    <w:p>
      <w:pPr>
        <w:pStyle w:val="6"/>
        <w:widowControl w:val="0"/>
        <w:shd w:val="clear" w:color="auto" w:fill="FFFFFF"/>
        <w:snapToGrid w:val="0"/>
        <w:spacing w:before="0" w:beforeAutospacing="0" w:after="0" w:afterAutospacing="0" w:line="560" w:lineRule="exact"/>
        <w:ind w:firstLine="640" w:firstLineChars="200"/>
        <w:jc w:val="both"/>
        <w:textAlignment w:val="baseline"/>
        <w:rPr>
          <w:rFonts w:ascii="仿宋_GB2312" w:hAnsi="黑体" w:eastAsia="仿宋_GB2312"/>
          <w:bCs/>
          <w:sz w:val="32"/>
          <w:szCs w:val="32"/>
          <w:highlight w:val="none"/>
          <w:shd w:val="clear" w:color="auto" w:fill="auto"/>
        </w:rPr>
      </w:pPr>
      <w:r>
        <w:rPr>
          <w:rFonts w:hint="eastAsia" w:ascii="仿宋_GB2312" w:eastAsia="仿宋_GB2312"/>
          <w:sz w:val="32"/>
          <w:szCs w:val="32"/>
          <w:highlight w:val="none"/>
          <w:shd w:val="clear" w:color="auto" w:fill="auto"/>
        </w:rPr>
        <w:t>昌吉州水利局编制数56人，实有人数</w:t>
      </w:r>
      <w:r>
        <w:rPr>
          <w:rFonts w:hint="eastAsia" w:ascii="仿宋_GB2312" w:eastAsia="仿宋_GB2312"/>
          <w:sz w:val="32"/>
          <w:szCs w:val="32"/>
          <w:highlight w:val="none"/>
          <w:shd w:val="clear" w:color="auto" w:fill="auto"/>
          <w:lang w:val="en-US" w:eastAsia="zh-CN"/>
        </w:rPr>
        <w:t>93</w:t>
      </w:r>
      <w:r>
        <w:rPr>
          <w:rFonts w:hint="eastAsia" w:ascii="仿宋_GB2312" w:eastAsia="仿宋_GB2312"/>
          <w:sz w:val="32"/>
          <w:szCs w:val="32"/>
          <w:highlight w:val="none"/>
          <w:shd w:val="clear" w:color="auto" w:fill="auto"/>
        </w:rPr>
        <w:t>人，其中：在职</w:t>
      </w:r>
      <w:r>
        <w:rPr>
          <w:rFonts w:hint="eastAsia" w:ascii="仿宋_GB2312" w:eastAsia="仿宋_GB2312"/>
          <w:sz w:val="32"/>
          <w:szCs w:val="32"/>
          <w:highlight w:val="none"/>
          <w:shd w:val="clear" w:color="auto" w:fill="auto"/>
          <w:lang w:val="en-US" w:eastAsia="zh-CN"/>
        </w:rPr>
        <w:t>50</w:t>
      </w:r>
      <w:r>
        <w:rPr>
          <w:rFonts w:hint="eastAsia" w:ascii="仿宋_GB2312" w:eastAsia="仿宋_GB2312"/>
          <w:sz w:val="32"/>
          <w:szCs w:val="32"/>
          <w:highlight w:val="none"/>
          <w:shd w:val="clear" w:color="auto" w:fill="auto"/>
        </w:rPr>
        <w:t>人，增加</w:t>
      </w:r>
      <w:r>
        <w:rPr>
          <w:rFonts w:hint="eastAsia" w:ascii="仿宋_GB2312" w:eastAsia="仿宋_GB2312"/>
          <w:sz w:val="32"/>
          <w:szCs w:val="32"/>
          <w:highlight w:val="none"/>
          <w:shd w:val="clear" w:color="auto" w:fill="auto"/>
          <w:lang w:val="en-US" w:eastAsia="zh-CN"/>
        </w:rPr>
        <w:t>2</w:t>
      </w:r>
      <w:r>
        <w:rPr>
          <w:rFonts w:hint="eastAsia" w:ascii="仿宋_GB2312" w:eastAsia="仿宋_GB2312"/>
          <w:sz w:val="32"/>
          <w:szCs w:val="32"/>
          <w:highlight w:val="none"/>
          <w:shd w:val="clear" w:color="auto" w:fill="auto"/>
        </w:rPr>
        <w:t>人； 退休</w:t>
      </w:r>
      <w:r>
        <w:rPr>
          <w:rFonts w:hint="eastAsia" w:ascii="仿宋_GB2312" w:eastAsia="仿宋_GB2312"/>
          <w:sz w:val="32"/>
          <w:szCs w:val="32"/>
          <w:highlight w:val="none"/>
          <w:shd w:val="clear" w:color="auto" w:fill="auto"/>
          <w:lang w:val="en-US" w:eastAsia="zh-CN"/>
        </w:rPr>
        <w:t>42</w:t>
      </w:r>
      <w:r>
        <w:rPr>
          <w:rFonts w:hint="eastAsia" w:ascii="仿宋_GB2312" w:eastAsia="仿宋_GB2312"/>
          <w:sz w:val="32"/>
          <w:szCs w:val="32"/>
          <w:highlight w:val="none"/>
          <w:shd w:val="clear" w:color="auto" w:fill="auto"/>
        </w:rPr>
        <w:t>人，增加</w:t>
      </w:r>
      <w:r>
        <w:rPr>
          <w:rFonts w:hint="eastAsia" w:ascii="仿宋_GB2312" w:eastAsia="仿宋_GB2312"/>
          <w:sz w:val="32"/>
          <w:szCs w:val="32"/>
          <w:highlight w:val="none"/>
          <w:shd w:val="clear" w:color="auto" w:fill="auto"/>
          <w:lang w:val="en-US" w:eastAsia="zh-CN"/>
        </w:rPr>
        <w:t>2</w:t>
      </w:r>
      <w:r>
        <w:rPr>
          <w:rFonts w:hint="eastAsia" w:ascii="仿宋_GB2312" w:eastAsia="仿宋_GB2312"/>
          <w:sz w:val="32"/>
          <w:szCs w:val="32"/>
          <w:highlight w:val="none"/>
          <w:shd w:val="clear" w:color="auto" w:fill="auto"/>
        </w:rPr>
        <w:t>人；离休1人，</w:t>
      </w:r>
      <w:r>
        <w:rPr>
          <w:rFonts w:hint="eastAsia" w:ascii="仿宋_GB2312" w:hAnsi="黑体" w:eastAsia="仿宋_GB2312"/>
          <w:bCs/>
          <w:sz w:val="32"/>
          <w:szCs w:val="32"/>
          <w:highlight w:val="none"/>
          <w:shd w:val="clear" w:color="auto" w:fill="auto"/>
          <w:lang w:val="en-US" w:eastAsia="zh-CN"/>
        </w:rPr>
        <w:t>增加0人</w:t>
      </w:r>
      <w:r>
        <w:rPr>
          <w:rFonts w:hint="eastAsia" w:ascii="仿宋_GB2312" w:hAnsi="黑体" w:eastAsia="仿宋_GB2312"/>
          <w:bCs/>
          <w:sz w:val="32"/>
          <w:szCs w:val="32"/>
          <w:highlight w:val="none"/>
          <w:shd w:val="clear" w:color="auto" w:fill="auto"/>
        </w:rPr>
        <w:t>。</w:t>
      </w:r>
    </w:p>
    <w:p>
      <w:pPr>
        <w:widowControl/>
        <w:spacing w:line="540" w:lineRule="exact"/>
        <w:ind w:firstLine="640"/>
        <w:jc w:val="left"/>
        <w:rPr>
          <w:rFonts w:ascii="仿宋_GB2312" w:hAnsi="宋体" w:eastAsia="仿宋_GB2312" w:cs="宋体"/>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昌吉州水利局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1002.69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1002.69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96.36</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61.24</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776.03</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napToGrid w:val="0"/>
              <w:spacing w:line="280" w:lineRule="exact"/>
              <w:jc w:val="right"/>
              <w:textAlignment w:val="baseline"/>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69.06</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1002.69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1002.69</w:t>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昌吉州水利局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741" w:type="dxa"/>
        <w:tblInd w:w="-450" w:type="dxa"/>
        <w:tblLayout w:type="fixed"/>
        <w:tblCellMar>
          <w:top w:w="0" w:type="dxa"/>
          <w:left w:w="108" w:type="dxa"/>
          <w:bottom w:w="0" w:type="dxa"/>
          <w:right w:w="108" w:type="dxa"/>
        </w:tblCellMar>
      </w:tblPr>
      <w:tblGrid>
        <w:gridCol w:w="589"/>
        <w:gridCol w:w="450"/>
        <w:gridCol w:w="491"/>
        <w:gridCol w:w="1866"/>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53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6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70" w:hRule="atLeast"/>
        </w:trPr>
        <w:tc>
          <w:tcPr>
            <w:tcW w:w="58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9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6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shd w:val="clear" w:color="auto" w:fill="auto"/>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50" w:type="dxa"/>
            <w:tcBorders>
              <w:top w:val="nil"/>
              <w:left w:val="nil"/>
              <w:bottom w:val="single" w:color="auto" w:sz="4" w:space="0"/>
              <w:right w:val="single" w:color="auto" w:sz="4" w:space="0"/>
            </w:tcBorders>
            <w:shd w:val="clear" w:color="auto" w:fill="auto"/>
            <w:vAlign w:val="center"/>
          </w:tcPr>
          <w:p>
            <w:pPr>
              <w:snapToGrid w:val="0"/>
              <w:jc w:val="center"/>
              <w:textAlignment w:val="baseline"/>
              <w:rPr>
                <w:rFonts w:ascii="仿宋_GB2312" w:hAnsi="宋体" w:eastAsia="仿宋_GB2312" w:cs="宋体"/>
                <w:color w:val="000000"/>
                <w:sz w:val="20"/>
                <w:szCs w:val="20"/>
              </w:rPr>
            </w:pPr>
          </w:p>
        </w:tc>
        <w:tc>
          <w:tcPr>
            <w:tcW w:w="491" w:type="dxa"/>
            <w:tcBorders>
              <w:top w:val="nil"/>
              <w:left w:val="nil"/>
              <w:bottom w:val="single" w:color="auto" w:sz="4" w:space="0"/>
              <w:right w:val="single" w:color="auto" w:sz="4" w:space="0"/>
            </w:tcBorders>
            <w:shd w:val="clear" w:color="auto" w:fill="auto"/>
            <w:vAlign w:val="center"/>
          </w:tcPr>
          <w:p>
            <w:pPr>
              <w:snapToGrid w:val="0"/>
              <w:jc w:val="center"/>
              <w:textAlignment w:val="baseline"/>
              <w:rPr>
                <w:rFonts w:ascii="仿宋_GB2312" w:hAnsi="宋体" w:eastAsia="仿宋_GB2312" w:cs="宋体"/>
                <w:color w:val="000000"/>
                <w:sz w:val="20"/>
                <w:szCs w:val="20"/>
              </w:rPr>
            </w:pPr>
          </w:p>
        </w:tc>
        <w:tc>
          <w:tcPr>
            <w:tcW w:w="1866" w:type="dxa"/>
            <w:tcBorders>
              <w:top w:val="nil"/>
              <w:left w:val="nil"/>
              <w:bottom w:val="single" w:color="auto" w:sz="4" w:space="0"/>
              <w:right w:val="single" w:color="auto" w:sz="4" w:space="0"/>
            </w:tcBorders>
            <w:shd w:val="clear" w:color="auto" w:fill="auto"/>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社会保障和就业支出</w:t>
            </w:r>
          </w:p>
        </w:tc>
        <w:tc>
          <w:tcPr>
            <w:tcW w:w="1018" w:type="dxa"/>
            <w:tcBorders>
              <w:top w:val="nil"/>
              <w:left w:val="nil"/>
              <w:bottom w:val="single" w:color="auto" w:sz="4" w:space="0"/>
              <w:right w:val="single" w:color="auto" w:sz="4" w:space="0"/>
            </w:tcBorders>
            <w:shd w:val="clear" w:color="000000" w:fill="FFFFFF"/>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96.36</w:t>
            </w:r>
          </w:p>
        </w:tc>
        <w:tc>
          <w:tcPr>
            <w:tcW w:w="850" w:type="dxa"/>
            <w:tcBorders>
              <w:top w:val="nil"/>
              <w:left w:val="nil"/>
              <w:bottom w:val="single" w:color="auto" w:sz="4" w:space="0"/>
              <w:right w:val="single" w:color="auto" w:sz="4" w:space="0"/>
            </w:tcBorders>
            <w:shd w:val="clear" w:color="000000" w:fill="FFFFFF"/>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96.36</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shd w:val="clear" w:color="auto" w:fill="auto"/>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50" w:type="dxa"/>
            <w:tcBorders>
              <w:top w:val="nil"/>
              <w:left w:val="nil"/>
              <w:bottom w:val="single" w:color="auto" w:sz="4" w:space="0"/>
              <w:right w:val="single" w:color="auto" w:sz="4" w:space="0"/>
            </w:tcBorders>
            <w:shd w:val="clear" w:color="auto" w:fill="auto"/>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91" w:type="dxa"/>
            <w:tcBorders>
              <w:top w:val="nil"/>
              <w:left w:val="nil"/>
              <w:bottom w:val="single" w:color="auto" w:sz="4" w:space="0"/>
              <w:right w:val="single" w:color="auto" w:sz="4" w:space="0"/>
            </w:tcBorders>
            <w:shd w:val="clear" w:color="auto" w:fill="auto"/>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1866" w:type="dxa"/>
            <w:tcBorders>
              <w:top w:val="nil"/>
              <w:left w:val="nil"/>
              <w:bottom w:val="single" w:color="auto" w:sz="4" w:space="0"/>
              <w:right w:val="single" w:color="auto" w:sz="4" w:space="0"/>
            </w:tcBorders>
            <w:shd w:val="clear" w:color="auto" w:fill="auto"/>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行政事业单位养老支出</w:t>
            </w:r>
          </w:p>
        </w:tc>
        <w:tc>
          <w:tcPr>
            <w:tcW w:w="1018" w:type="dxa"/>
            <w:tcBorders>
              <w:top w:val="nil"/>
              <w:left w:val="nil"/>
              <w:bottom w:val="single" w:color="auto" w:sz="4" w:space="0"/>
              <w:right w:val="single" w:color="auto" w:sz="4" w:space="0"/>
            </w:tcBorders>
            <w:shd w:val="clear" w:color="000000" w:fill="FFFFFF"/>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96.36</w:t>
            </w:r>
          </w:p>
        </w:tc>
        <w:tc>
          <w:tcPr>
            <w:tcW w:w="850" w:type="dxa"/>
            <w:tcBorders>
              <w:top w:val="nil"/>
              <w:left w:val="nil"/>
              <w:bottom w:val="single" w:color="auto" w:sz="4" w:space="0"/>
              <w:right w:val="single" w:color="auto" w:sz="4" w:space="0"/>
            </w:tcBorders>
            <w:shd w:val="clear" w:color="000000" w:fill="FFFFFF"/>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96.36</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shd w:val="clear" w:color="auto" w:fill="auto"/>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50" w:type="dxa"/>
            <w:tcBorders>
              <w:top w:val="nil"/>
              <w:left w:val="nil"/>
              <w:bottom w:val="single" w:color="auto" w:sz="4" w:space="0"/>
              <w:right w:val="single" w:color="auto" w:sz="4" w:space="0"/>
            </w:tcBorders>
            <w:shd w:val="clear" w:color="auto" w:fill="auto"/>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91" w:type="dxa"/>
            <w:tcBorders>
              <w:top w:val="nil"/>
              <w:left w:val="nil"/>
              <w:bottom w:val="single" w:color="auto" w:sz="4" w:space="0"/>
              <w:right w:val="single" w:color="auto" w:sz="4" w:space="0"/>
            </w:tcBorders>
            <w:shd w:val="clear" w:color="auto" w:fill="auto"/>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1866" w:type="dxa"/>
            <w:tcBorders>
              <w:top w:val="nil"/>
              <w:left w:val="nil"/>
              <w:bottom w:val="single" w:color="auto" w:sz="4" w:space="0"/>
              <w:right w:val="single" w:color="auto" w:sz="4" w:space="0"/>
            </w:tcBorders>
            <w:shd w:val="clear" w:color="auto" w:fill="auto"/>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行政单位离退休</w:t>
            </w:r>
          </w:p>
        </w:tc>
        <w:tc>
          <w:tcPr>
            <w:tcW w:w="1018" w:type="dxa"/>
            <w:tcBorders>
              <w:top w:val="nil"/>
              <w:left w:val="nil"/>
              <w:bottom w:val="single" w:color="auto" w:sz="4" w:space="0"/>
              <w:right w:val="single" w:color="auto" w:sz="4" w:space="0"/>
            </w:tcBorders>
            <w:shd w:val="clear" w:color="000000" w:fill="FFFFFF"/>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18.68</w:t>
            </w:r>
          </w:p>
        </w:tc>
        <w:tc>
          <w:tcPr>
            <w:tcW w:w="850" w:type="dxa"/>
            <w:tcBorders>
              <w:top w:val="nil"/>
              <w:left w:val="nil"/>
              <w:bottom w:val="single" w:color="auto" w:sz="4" w:space="0"/>
              <w:right w:val="single" w:color="auto" w:sz="4" w:space="0"/>
            </w:tcBorders>
            <w:shd w:val="clear" w:color="000000" w:fill="FFFFFF"/>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18.68</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208</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05</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05</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机关事业单位基本养老</w:t>
            </w:r>
            <w:r>
              <w:rPr>
                <w:rFonts w:hint="eastAsia" w:ascii="仿宋_GB2312" w:hAnsi="宋体" w:eastAsia="仿宋_GB2312" w:cs="宋体"/>
                <w:color w:val="000000"/>
                <w:sz w:val="20"/>
                <w:szCs w:val="20"/>
              </w:rPr>
              <w:t>保险缴费支出</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77.68</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77.68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ascii="仿宋_GB2312" w:hAnsi="宋体" w:eastAsia="仿宋_GB2312" w:cs="宋体"/>
                <w:color w:val="000000"/>
                <w:sz w:val="20"/>
                <w:szCs w:val="20"/>
              </w:rPr>
              <w:t>210</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ascii="仿宋_GB2312" w:hAnsi="宋体" w:eastAsia="仿宋_GB2312" w:cs="宋体"/>
                <w:color w:val="000000"/>
                <w:sz w:val="20"/>
                <w:szCs w:val="20"/>
              </w:rPr>
              <w:t>210</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ascii="仿宋_GB2312" w:hAnsi="宋体" w:eastAsia="仿宋_GB2312" w:cs="宋体"/>
                <w:color w:val="000000"/>
                <w:sz w:val="20"/>
                <w:szCs w:val="20"/>
              </w:rPr>
              <w:t>11</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210</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01</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行政单位医疗</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19.4</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19.4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210</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0</w:t>
            </w:r>
            <w:r>
              <w:rPr>
                <w:rFonts w:hint="eastAsia" w:ascii="仿宋_GB2312" w:hAnsi="宋体" w:eastAsia="仿宋_GB2312" w:cs="宋体"/>
                <w:color w:val="000000"/>
                <w:sz w:val="20"/>
                <w:szCs w:val="20"/>
                <w:lang w:val="en-US" w:eastAsia="zh-CN"/>
              </w:rPr>
              <w:t>2</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事业单位医疗</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26.72</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26.72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210</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11</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03</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公务员医疗补助</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14.57</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14.57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210</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11</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99</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其他行政事业单位医疗支出</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0.55</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0.55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农林水支出</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776.03</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776.03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水利</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776.03</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776.03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383"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行政运行</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654.03</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654.03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09</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水利执法监督</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10</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10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213</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03</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11</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水资源节约管理与保护</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10"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213</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03</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14</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防汛</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1</w:t>
            </w:r>
            <w:r>
              <w:rPr>
                <w:rFonts w:hint="eastAsia" w:ascii="仿宋_GB2312" w:hAnsi="宋体" w:eastAsia="仿宋_GB2312" w:cs="宋体"/>
                <w:color w:val="000000"/>
                <w:sz w:val="20"/>
                <w:szCs w:val="20"/>
                <w:lang w:val="en-US" w:eastAsia="zh-CN"/>
              </w:rPr>
              <w:t>6</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农村水利</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10</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10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19</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江河湖库水系综合整治</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50</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50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33</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信息管理</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22</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其他水利支出</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住房保障支出</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69.06</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69.06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住房改革支出</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69.06</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69.06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5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86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018"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69.06</w:t>
            </w:r>
          </w:p>
        </w:tc>
        <w:tc>
          <w:tcPr>
            <w:tcW w:w="850"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69.06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8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1002.69</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1002.69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昌吉州水利局                               单位：万元</w:t>
      </w:r>
    </w:p>
    <w:tbl>
      <w:tblPr>
        <w:tblStyle w:val="7"/>
        <w:tblW w:w="9420" w:type="dxa"/>
        <w:tblInd w:w="-240" w:type="dxa"/>
        <w:tblLayout w:type="fixed"/>
        <w:tblCellMar>
          <w:top w:w="0" w:type="dxa"/>
          <w:left w:w="108" w:type="dxa"/>
          <w:bottom w:w="0" w:type="dxa"/>
          <w:right w:w="108" w:type="dxa"/>
        </w:tblCellMar>
      </w:tblPr>
      <w:tblGrid>
        <w:gridCol w:w="561"/>
        <w:gridCol w:w="473"/>
        <w:gridCol w:w="436"/>
        <w:gridCol w:w="2335"/>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470"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3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7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3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ascii="仿宋_GB2312" w:hAnsi="宋体" w:eastAsia="仿宋_GB2312" w:cs="宋体"/>
                <w:color w:val="000000"/>
                <w:sz w:val="20"/>
                <w:szCs w:val="20"/>
              </w:rPr>
              <w:t>208</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社会保障和就业支出</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96.36</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96.36</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行政事业单位养老支出</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96.36</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96.36</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行政单位离退休</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18.68</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18.68</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208</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ascii="仿宋_GB2312" w:hAnsi="宋体" w:eastAsia="仿宋_GB2312" w:cs="宋体"/>
                <w:color w:val="000000"/>
                <w:sz w:val="20"/>
                <w:szCs w:val="20"/>
              </w:rPr>
              <w:t>机关事业单位基本养老</w:t>
            </w:r>
            <w:r>
              <w:rPr>
                <w:rFonts w:hint="eastAsia" w:ascii="仿宋_GB2312" w:hAnsi="宋体" w:eastAsia="仿宋_GB2312" w:cs="宋体"/>
                <w:color w:val="000000"/>
                <w:sz w:val="20"/>
                <w:szCs w:val="20"/>
              </w:rPr>
              <w:t>保险缴费支出</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77.68</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77.68</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ascii="仿宋_GB2312" w:hAnsi="宋体" w:eastAsia="仿宋_GB2312" w:cs="宋体"/>
                <w:color w:val="000000"/>
                <w:sz w:val="20"/>
                <w:szCs w:val="20"/>
              </w:rPr>
              <w:t>210</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ascii="仿宋_GB2312" w:hAnsi="宋体" w:eastAsia="仿宋_GB2312" w:cs="宋体"/>
                <w:color w:val="000000"/>
                <w:sz w:val="20"/>
                <w:szCs w:val="20"/>
              </w:rPr>
              <w:t>210</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ascii="仿宋_GB2312" w:hAnsi="宋体" w:eastAsia="仿宋_GB2312" w:cs="宋体"/>
                <w:color w:val="000000"/>
                <w:sz w:val="20"/>
                <w:szCs w:val="20"/>
              </w:rPr>
              <w:t>11</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ascii="仿宋_GB2312" w:hAnsi="宋体" w:eastAsia="仿宋_GB2312" w:cs="宋体"/>
                <w:color w:val="000000"/>
                <w:sz w:val="20"/>
                <w:szCs w:val="20"/>
              </w:rPr>
              <w:t>210</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ascii="仿宋_GB2312" w:hAnsi="宋体" w:eastAsia="仿宋_GB2312" w:cs="宋体"/>
                <w:color w:val="000000"/>
                <w:sz w:val="20"/>
                <w:szCs w:val="20"/>
              </w:rPr>
              <w:t>11</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ascii="仿宋_GB2312" w:hAnsi="宋体" w:eastAsia="仿宋_GB2312" w:cs="宋体"/>
                <w:color w:val="000000"/>
                <w:sz w:val="20"/>
                <w:szCs w:val="20"/>
              </w:rPr>
              <w:t>01</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ascii="仿宋_GB2312" w:hAnsi="宋体" w:eastAsia="仿宋_GB2312" w:cs="宋体"/>
                <w:color w:val="000000"/>
                <w:sz w:val="20"/>
                <w:szCs w:val="20"/>
              </w:rPr>
              <w:t>行政单位医疗</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19.4</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19.4</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ascii="仿宋_GB2312" w:hAnsi="宋体" w:eastAsia="仿宋_GB2312" w:cs="宋体"/>
                <w:color w:val="000000"/>
                <w:sz w:val="20"/>
                <w:szCs w:val="20"/>
              </w:rPr>
              <w:t>210</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ascii="仿宋_GB2312" w:hAnsi="宋体" w:eastAsia="仿宋_GB2312" w:cs="宋体"/>
                <w:color w:val="000000"/>
                <w:sz w:val="20"/>
                <w:szCs w:val="20"/>
              </w:rPr>
              <w:t>11</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ascii="仿宋_GB2312" w:hAnsi="宋体" w:eastAsia="仿宋_GB2312" w:cs="宋体"/>
                <w:color w:val="000000"/>
                <w:sz w:val="20"/>
                <w:szCs w:val="20"/>
              </w:rPr>
              <w:t>0</w:t>
            </w:r>
            <w:r>
              <w:rPr>
                <w:rFonts w:hint="eastAsia" w:ascii="仿宋_GB2312" w:hAnsi="宋体" w:eastAsia="仿宋_GB2312" w:cs="宋体"/>
                <w:color w:val="000000"/>
                <w:sz w:val="20"/>
                <w:szCs w:val="20"/>
                <w:lang w:val="en-US" w:eastAsia="zh-CN"/>
              </w:rPr>
              <w:t>2</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事业单位医疗</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26.72</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26.72</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210</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ascii="仿宋_GB2312" w:hAnsi="宋体" w:eastAsia="仿宋_GB2312" w:cs="宋体"/>
                <w:color w:val="000000"/>
                <w:sz w:val="20"/>
                <w:szCs w:val="20"/>
              </w:rPr>
              <w:t>公务员医疗补助</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14.57</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14.57</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ascii="仿宋_GB2312" w:hAnsi="宋体" w:eastAsia="仿宋_GB2312" w:cs="宋体"/>
                <w:color w:val="000000"/>
                <w:sz w:val="20"/>
                <w:szCs w:val="20"/>
              </w:rPr>
              <w:t>210</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ascii="仿宋_GB2312" w:hAnsi="宋体" w:eastAsia="仿宋_GB2312" w:cs="宋体"/>
                <w:color w:val="000000"/>
                <w:sz w:val="20"/>
                <w:szCs w:val="20"/>
              </w:rPr>
              <w:t>11</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ascii="仿宋_GB2312" w:hAnsi="宋体" w:eastAsia="仿宋_GB2312" w:cs="宋体"/>
                <w:color w:val="000000"/>
                <w:sz w:val="20"/>
                <w:szCs w:val="20"/>
              </w:rPr>
              <w:t>99</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ascii="仿宋_GB2312" w:hAnsi="宋体" w:eastAsia="仿宋_GB2312" w:cs="宋体"/>
                <w:color w:val="000000"/>
                <w:sz w:val="20"/>
                <w:szCs w:val="20"/>
              </w:rPr>
              <w:t>其他行政事业单位医疗支出</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0.55</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0.55</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农林水支出</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776.03</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654.03</w:t>
            </w: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122</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水利</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776.03</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654.03</w:t>
            </w: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122</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213</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03</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01</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行政运行</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654.03</w:t>
            </w:r>
          </w:p>
        </w:tc>
        <w:tc>
          <w:tcPr>
            <w:tcW w:w="1856"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654.03</w:t>
            </w: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hint="default"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213</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03</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09</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水利执法监督</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10</w:t>
            </w:r>
          </w:p>
        </w:tc>
        <w:tc>
          <w:tcPr>
            <w:tcW w:w="1856"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10</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213</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11</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水资源节约管理与保护</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c>
          <w:tcPr>
            <w:tcW w:w="1856"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213</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14</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防汛</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c>
          <w:tcPr>
            <w:tcW w:w="1856"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213</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03</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1</w:t>
            </w:r>
            <w:r>
              <w:rPr>
                <w:rFonts w:hint="eastAsia" w:ascii="仿宋_GB2312" w:hAnsi="宋体" w:eastAsia="仿宋_GB2312" w:cs="宋体"/>
                <w:color w:val="000000"/>
                <w:sz w:val="20"/>
                <w:szCs w:val="20"/>
                <w:lang w:val="en-US" w:eastAsia="zh-CN"/>
              </w:rPr>
              <w:t>6</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农村水利</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10</w:t>
            </w:r>
          </w:p>
        </w:tc>
        <w:tc>
          <w:tcPr>
            <w:tcW w:w="1856"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10</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213</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03</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19</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江河湖库水系综合整治</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50</w:t>
            </w:r>
          </w:p>
        </w:tc>
        <w:tc>
          <w:tcPr>
            <w:tcW w:w="1856"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50</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213</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03</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33</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信息管理</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22</w:t>
            </w:r>
          </w:p>
        </w:tc>
        <w:tc>
          <w:tcPr>
            <w:tcW w:w="1856"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22</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213</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03</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99</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其他水利支出</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c>
          <w:tcPr>
            <w:tcW w:w="1856"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10</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住房保障支出</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69.06</w:t>
            </w:r>
          </w:p>
        </w:tc>
        <w:tc>
          <w:tcPr>
            <w:tcW w:w="1856"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69.06</w:t>
            </w: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住房改革支出</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69.06</w:t>
            </w:r>
          </w:p>
        </w:tc>
        <w:tc>
          <w:tcPr>
            <w:tcW w:w="1856"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69.06</w:t>
            </w:r>
          </w:p>
        </w:tc>
        <w:tc>
          <w:tcPr>
            <w:tcW w:w="1904"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221</w:t>
            </w:r>
          </w:p>
        </w:tc>
        <w:tc>
          <w:tcPr>
            <w:tcW w:w="473"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02</w:t>
            </w:r>
          </w:p>
        </w:tc>
        <w:tc>
          <w:tcPr>
            <w:tcW w:w="436"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16"/>
                <w:szCs w:val="16"/>
              </w:rPr>
            </w:pPr>
            <w:r>
              <w:rPr>
                <w:rFonts w:hint="eastAsia" w:ascii="仿宋_GB2312" w:hAnsi="宋体" w:eastAsia="仿宋_GB2312" w:cs="宋体"/>
                <w:color w:val="000000"/>
                <w:sz w:val="20"/>
                <w:szCs w:val="20"/>
              </w:rPr>
              <w:t>01</w:t>
            </w:r>
          </w:p>
        </w:tc>
        <w:tc>
          <w:tcPr>
            <w:tcW w:w="2335"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rPr>
              <w:t>住房公积金</w:t>
            </w:r>
          </w:p>
        </w:tc>
        <w:tc>
          <w:tcPr>
            <w:tcW w:w="1855"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69.06</w:t>
            </w:r>
          </w:p>
        </w:tc>
        <w:tc>
          <w:tcPr>
            <w:tcW w:w="1856"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69.06</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left"/>
            </w:pPr>
            <w:r>
              <w:rPr>
                <w:rFonts w:hint="eastAsia" w:ascii="宋体" w:hAnsi="宋体" w:cs="宋体"/>
                <w:color w:val="000000"/>
                <w:kern w:val="0"/>
                <w:sz w:val="22"/>
                <w:szCs w:val="22"/>
              </w:rPr>
              <w:t>　</w:t>
            </w:r>
          </w:p>
        </w:tc>
        <w:tc>
          <w:tcPr>
            <w:tcW w:w="473" w:type="dxa"/>
            <w:tcBorders>
              <w:top w:val="nil"/>
              <w:left w:val="nil"/>
              <w:bottom w:val="single" w:color="auto" w:sz="4" w:space="0"/>
              <w:right w:val="single" w:color="auto" w:sz="4" w:space="0"/>
            </w:tcBorders>
            <w:vAlign w:val="center"/>
          </w:tcPr>
          <w:p>
            <w:pPr>
              <w:widowControl/>
              <w:spacing w:line="280" w:lineRule="exact"/>
              <w:jc w:val="left"/>
            </w:pPr>
            <w:r>
              <w:rPr>
                <w:rFonts w:hint="eastAsia" w:ascii="宋体" w:hAnsi="宋体" w:cs="宋体"/>
                <w:color w:val="000000"/>
                <w:kern w:val="0"/>
                <w:sz w:val="22"/>
                <w:szCs w:val="22"/>
              </w:rPr>
              <w:t>　</w:t>
            </w:r>
          </w:p>
        </w:tc>
        <w:tc>
          <w:tcPr>
            <w:tcW w:w="436" w:type="dxa"/>
            <w:tcBorders>
              <w:top w:val="nil"/>
              <w:left w:val="nil"/>
              <w:bottom w:val="single" w:color="auto" w:sz="4" w:space="0"/>
              <w:right w:val="single" w:color="auto" w:sz="4" w:space="0"/>
            </w:tcBorders>
            <w:vAlign w:val="center"/>
          </w:tcPr>
          <w:p>
            <w:pPr>
              <w:widowControl/>
              <w:spacing w:line="280" w:lineRule="exact"/>
              <w:jc w:val="left"/>
            </w:pPr>
            <w:r>
              <w:rPr>
                <w:rFonts w:hint="eastAsia" w:ascii="宋体" w:hAnsi="宋体" w:cs="宋体"/>
                <w:color w:val="000000"/>
                <w:kern w:val="0"/>
                <w:sz w:val="24"/>
              </w:rPr>
              <w:t>　</w:t>
            </w:r>
          </w:p>
        </w:tc>
        <w:tc>
          <w:tcPr>
            <w:tcW w:w="2335" w:type="dxa"/>
            <w:tcBorders>
              <w:top w:val="nil"/>
              <w:left w:val="nil"/>
              <w:bottom w:val="single" w:color="auto" w:sz="4" w:space="0"/>
              <w:right w:val="single" w:color="auto" w:sz="4" w:space="0"/>
            </w:tcBorders>
            <w:vAlign w:val="center"/>
          </w:tcPr>
          <w:p>
            <w:pPr>
              <w:widowControl/>
              <w:spacing w:line="280" w:lineRule="exact"/>
              <w:jc w:val="cente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kern w:val="0"/>
                <w:sz w:val="18"/>
                <w:szCs w:val="18"/>
                <w:lang w:val="en-US" w:eastAsia="zh-CN"/>
              </w:rPr>
              <w:t>1002.69</w:t>
            </w:r>
          </w:p>
        </w:tc>
        <w:tc>
          <w:tcPr>
            <w:tcW w:w="1856"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kern w:val="0"/>
                <w:sz w:val="18"/>
                <w:szCs w:val="18"/>
                <w:lang w:val="en-US" w:eastAsia="zh-CN"/>
              </w:rPr>
              <w:t>880.69</w:t>
            </w:r>
          </w:p>
        </w:tc>
        <w:tc>
          <w:tcPr>
            <w:tcW w:w="1904"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b/>
                <w:bCs/>
                <w:color w:val="000000"/>
                <w:kern w:val="0"/>
                <w:sz w:val="22"/>
                <w:szCs w:val="22"/>
              </w:rPr>
            </w:pPr>
            <w:r>
              <w:rPr>
                <w:rFonts w:hint="eastAsia" w:ascii="仿宋_GB2312" w:hAnsi="宋体" w:eastAsia="仿宋_GB2312" w:cs="宋体"/>
                <w:color w:val="000000"/>
                <w:kern w:val="0"/>
                <w:sz w:val="18"/>
                <w:szCs w:val="18"/>
                <w:lang w:val="en-US" w:eastAsia="zh-CN"/>
              </w:rPr>
              <w:t>122</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 昌吉州水利局                                单位：万元</w:t>
      </w:r>
    </w:p>
    <w:tbl>
      <w:tblPr>
        <w:tblStyle w:val="7"/>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1002.69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1002.69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lang w:val="en-US" w:eastAsia="zh-CN"/>
              </w:rPr>
              <w:t>96.36</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lang w:val="en-US" w:eastAsia="zh-CN"/>
              </w:rPr>
              <w:t>96.36</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lang w:val="en-US" w:eastAsia="zh-CN"/>
              </w:rPr>
              <w:t>61.24</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lang w:val="en-US" w:eastAsia="zh-CN"/>
              </w:rPr>
              <w:t>61.24</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lang w:val="en-US" w:eastAsia="zh-CN"/>
              </w:rPr>
              <w:t>776.03</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lang w:val="en-US" w:eastAsia="zh-CN"/>
              </w:rPr>
              <w:t>776.03</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lang w:val="en-US" w:eastAsia="zh-CN"/>
              </w:rPr>
              <w:t>69.06</w:t>
            </w:r>
            <w:r>
              <w:rPr>
                <w:rFonts w:hint="eastAsia" w:ascii="仿宋_GB2312" w:hAnsi="宋体" w:eastAsia="仿宋_GB2312" w:cs="宋体"/>
                <w:kern w:val="0"/>
                <w:sz w:val="18"/>
                <w:szCs w:val="18"/>
              </w:rPr>
              <w:t>　</w:t>
            </w:r>
          </w:p>
        </w:tc>
        <w:tc>
          <w:tcPr>
            <w:tcW w:w="85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kern w:val="0"/>
                <w:sz w:val="18"/>
                <w:szCs w:val="18"/>
              </w:rPr>
            </w:pPr>
            <w:r>
              <w:rPr>
                <w:rFonts w:hint="eastAsia" w:ascii="仿宋_GB2312" w:hAnsi="宋体" w:eastAsia="仿宋_GB2312" w:cs="宋体"/>
                <w:kern w:val="0"/>
                <w:sz w:val="18"/>
                <w:szCs w:val="18"/>
                <w:lang w:val="en-US" w:eastAsia="zh-CN"/>
              </w:rPr>
              <w:t>69.06</w:t>
            </w:r>
            <w:r>
              <w:rPr>
                <w:rFonts w:hint="eastAsia" w:ascii="仿宋_GB2312" w:hAnsi="宋体" w:eastAsia="仿宋_GB2312"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18"/>
                <w:szCs w:val="18"/>
                <w:lang w:val="en-US" w:eastAsia="zh-CN"/>
              </w:rPr>
              <w:t>1002.69</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18"/>
                <w:szCs w:val="18"/>
                <w:lang w:val="en-US" w:eastAsia="zh-CN"/>
              </w:rPr>
              <w:t>1002.69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kern w:val="0"/>
                <w:sz w:val="18"/>
                <w:szCs w:val="18"/>
                <w:lang w:val="en-US" w:eastAsia="zh-CN"/>
              </w:rPr>
              <w:t>1002.69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编制部门（单位）：昌吉州水利局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67"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81"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snapToGrid w:val="0"/>
              <w:jc w:val="both"/>
              <w:textAlignment w:val="baseline"/>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snapToGrid w:val="0"/>
              <w:jc w:val="both"/>
              <w:textAlignment w:val="baseline"/>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96.36</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96.36</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383"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行政事业单位养老支出</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96.36</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96.36</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9"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ascii="仿宋_GB2312" w:hAnsi="宋体" w:eastAsia="仿宋_GB2312" w:cs="宋体"/>
                <w:color w:val="000000"/>
                <w:sz w:val="20"/>
                <w:szCs w:val="20"/>
              </w:rPr>
              <w:t>05</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行政单位离退休</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18.68</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18.68</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ascii="仿宋_GB2312" w:hAnsi="宋体" w:eastAsia="仿宋_GB2312" w:cs="宋体"/>
                <w:color w:val="000000"/>
                <w:sz w:val="20"/>
                <w:szCs w:val="20"/>
              </w:rPr>
              <w:t>机关事业单位基本养老</w:t>
            </w:r>
            <w:r>
              <w:rPr>
                <w:rFonts w:hint="eastAsia" w:ascii="仿宋_GB2312" w:hAnsi="宋体" w:eastAsia="仿宋_GB2312" w:cs="宋体"/>
                <w:color w:val="000000"/>
                <w:sz w:val="20"/>
                <w:szCs w:val="20"/>
              </w:rPr>
              <w:t>保险缴费支出</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77.68</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77.68</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355"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卫生健康支出</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382"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r>
              <w:rPr>
                <w:rFonts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val="en-US" w:eastAsia="zh-CN"/>
              </w:rPr>
            </w:pP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行政事业单位医疗</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61.24</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22"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ascii="仿宋_GB2312" w:hAnsi="宋体" w:eastAsia="仿宋_GB2312" w:cs="宋体"/>
                <w:color w:val="000000"/>
                <w:sz w:val="20"/>
                <w:szCs w:val="20"/>
              </w:rPr>
              <w:t>行政单位医疗</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19.4</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19.4</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23"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ascii="仿宋_GB2312" w:hAnsi="宋体" w:eastAsia="仿宋_GB2312" w:cs="宋体"/>
                <w:color w:val="000000"/>
                <w:sz w:val="20"/>
                <w:szCs w:val="20"/>
              </w:rPr>
              <w:t>0</w:t>
            </w:r>
            <w:r>
              <w:rPr>
                <w:rFonts w:hint="eastAsia" w:ascii="仿宋_GB2312" w:hAnsi="宋体" w:eastAsia="仿宋_GB2312" w:cs="宋体"/>
                <w:color w:val="000000"/>
                <w:sz w:val="20"/>
                <w:szCs w:val="20"/>
                <w:lang w:val="en-US" w:eastAsia="zh-CN"/>
              </w:rPr>
              <w:t>2</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事业单位医疗</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26.72</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26.72</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24"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ascii="仿宋_GB2312" w:hAnsi="宋体" w:eastAsia="仿宋_GB2312" w:cs="宋体"/>
                <w:color w:val="000000"/>
                <w:sz w:val="20"/>
                <w:szCs w:val="20"/>
              </w:rPr>
              <w:t>公务员医疗补助</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14.57</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14.57</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91"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ascii="仿宋_GB2312" w:hAnsi="宋体" w:eastAsia="仿宋_GB2312" w:cs="宋体"/>
                <w:color w:val="000000"/>
                <w:sz w:val="20"/>
                <w:szCs w:val="20"/>
              </w:rPr>
              <w:t>11</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ascii="仿宋_GB2312" w:hAnsi="宋体" w:eastAsia="仿宋_GB2312" w:cs="宋体"/>
                <w:color w:val="000000"/>
                <w:sz w:val="20"/>
                <w:szCs w:val="20"/>
              </w:rPr>
              <w:t>99</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ascii="仿宋_GB2312" w:hAnsi="宋体" w:eastAsia="仿宋_GB2312" w:cs="宋体"/>
                <w:color w:val="000000"/>
                <w:sz w:val="20"/>
                <w:szCs w:val="20"/>
              </w:rPr>
              <w:t>其他行政事业单位医疗支出</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0.55</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0.55</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11"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农林水支出</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776.03</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654.03</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122</w:t>
            </w:r>
          </w:p>
        </w:tc>
      </w:tr>
      <w:tr>
        <w:tblPrEx>
          <w:tblCellMar>
            <w:top w:w="0" w:type="dxa"/>
            <w:left w:w="108" w:type="dxa"/>
            <w:bottom w:w="0" w:type="dxa"/>
            <w:right w:w="108" w:type="dxa"/>
          </w:tblCellMar>
        </w:tblPrEx>
        <w:trPr>
          <w:trHeight w:val="396"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213</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sz w:val="20"/>
                <w:szCs w:val="20"/>
              </w:rPr>
            </w:pPr>
            <w:r>
              <w:rPr>
                <w:rFonts w:hint="eastAsia" w:ascii="仿宋_GB2312" w:hAnsi="宋体" w:eastAsia="仿宋_GB2312" w:cs="宋体"/>
                <w:color w:val="000000"/>
                <w:sz w:val="20"/>
                <w:szCs w:val="20"/>
              </w:rPr>
              <w:t>水利</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776.03</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654.03</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122</w:t>
            </w:r>
          </w:p>
        </w:tc>
      </w:tr>
      <w:tr>
        <w:tblPrEx>
          <w:tblCellMar>
            <w:top w:w="0" w:type="dxa"/>
            <w:left w:w="108" w:type="dxa"/>
            <w:bottom w:w="0" w:type="dxa"/>
            <w:right w:w="108" w:type="dxa"/>
          </w:tblCellMar>
        </w:tblPrEx>
        <w:trPr>
          <w:trHeight w:val="436"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213</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03</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行政运行</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654.03</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654.03</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22"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213</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03</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09</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水利执法监督</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10</w:t>
            </w:r>
          </w:p>
        </w:tc>
        <w:tc>
          <w:tcPr>
            <w:tcW w:w="1842" w:type="dxa"/>
            <w:gridSpan w:val="2"/>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10</w:t>
            </w:r>
          </w:p>
        </w:tc>
      </w:tr>
      <w:tr>
        <w:tblPrEx>
          <w:tblCellMar>
            <w:top w:w="0" w:type="dxa"/>
            <w:left w:w="108" w:type="dxa"/>
            <w:bottom w:w="0" w:type="dxa"/>
            <w:right w:w="108" w:type="dxa"/>
          </w:tblCellMar>
        </w:tblPrEx>
        <w:trPr>
          <w:trHeight w:val="423"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水资源节约管理与保护</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10</w:t>
            </w:r>
          </w:p>
        </w:tc>
        <w:tc>
          <w:tcPr>
            <w:tcW w:w="1842" w:type="dxa"/>
            <w:gridSpan w:val="2"/>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10</w:t>
            </w:r>
          </w:p>
        </w:tc>
      </w:tr>
      <w:tr>
        <w:tblPrEx>
          <w:tblCellMar>
            <w:top w:w="0" w:type="dxa"/>
            <w:left w:w="108" w:type="dxa"/>
            <w:bottom w:w="0" w:type="dxa"/>
            <w:right w:w="108" w:type="dxa"/>
          </w:tblCellMar>
        </w:tblPrEx>
        <w:trPr>
          <w:trHeight w:val="354"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14</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防汛</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10</w:t>
            </w:r>
          </w:p>
        </w:tc>
        <w:tc>
          <w:tcPr>
            <w:tcW w:w="1842" w:type="dxa"/>
            <w:gridSpan w:val="2"/>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10</w:t>
            </w:r>
          </w:p>
        </w:tc>
      </w:tr>
      <w:tr>
        <w:tblPrEx>
          <w:tblCellMar>
            <w:top w:w="0" w:type="dxa"/>
            <w:left w:w="108" w:type="dxa"/>
            <w:bottom w:w="0" w:type="dxa"/>
            <w:right w:w="108" w:type="dxa"/>
          </w:tblCellMar>
        </w:tblPrEx>
        <w:trPr>
          <w:trHeight w:val="369"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213</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03</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1</w:t>
            </w:r>
            <w:r>
              <w:rPr>
                <w:rFonts w:hint="eastAsia" w:ascii="仿宋_GB2312" w:hAnsi="宋体" w:eastAsia="仿宋_GB2312" w:cs="宋体"/>
                <w:color w:val="000000"/>
                <w:sz w:val="20"/>
                <w:szCs w:val="20"/>
                <w:lang w:val="en-US" w:eastAsia="zh-CN"/>
              </w:rPr>
              <w:t>6</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农村水利</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10</w:t>
            </w:r>
          </w:p>
        </w:tc>
        <w:tc>
          <w:tcPr>
            <w:tcW w:w="1842" w:type="dxa"/>
            <w:gridSpan w:val="2"/>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213</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03</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19</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江河湖库水系综合整治</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50</w:t>
            </w:r>
          </w:p>
        </w:tc>
        <w:tc>
          <w:tcPr>
            <w:tcW w:w="1842" w:type="dxa"/>
            <w:gridSpan w:val="2"/>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50</w:t>
            </w:r>
          </w:p>
        </w:tc>
      </w:tr>
      <w:tr>
        <w:tblPrEx>
          <w:tblCellMar>
            <w:top w:w="0" w:type="dxa"/>
            <w:left w:w="108" w:type="dxa"/>
            <w:bottom w:w="0" w:type="dxa"/>
            <w:right w:w="108" w:type="dxa"/>
          </w:tblCellMar>
        </w:tblPrEx>
        <w:trPr>
          <w:trHeight w:val="409"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213</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03</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33</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信息管理</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22</w:t>
            </w:r>
          </w:p>
        </w:tc>
        <w:tc>
          <w:tcPr>
            <w:tcW w:w="1842" w:type="dxa"/>
            <w:gridSpan w:val="2"/>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22</w:t>
            </w:r>
          </w:p>
        </w:tc>
      </w:tr>
      <w:tr>
        <w:tblPrEx>
          <w:tblCellMar>
            <w:top w:w="0" w:type="dxa"/>
            <w:left w:w="108" w:type="dxa"/>
            <w:bottom w:w="0" w:type="dxa"/>
            <w:right w:w="108" w:type="dxa"/>
          </w:tblCellMar>
        </w:tblPrEx>
        <w:trPr>
          <w:trHeight w:val="396"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213</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03</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99</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其他水利支出</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10</w:t>
            </w:r>
          </w:p>
        </w:tc>
        <w:tc>
          <w:tcPr>
            <w:tcW w:w="1842" w:type="dxa"/>
            <w:gridSpan w:val="2"/>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10</w:t>
            </w:r>
          </w:p>
        </w:tc>
      </w:tr>
      <w:tr>
        <w:tblPrEx>
          <w:tblCellMar>
            <w:top w:w="0" w:type="dxa"/>
            <w:left w:w="108" w:type="dxa"/>
            <w:bottom w:w="0" w:type="dxa"/>
            <w:right w:w="108" w:type="dxa"/>
          </w:tblCellMar>
        </w:tblPrEx>
        <w:trPr>
          <w:trHeight w:val="356"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住房保障支出</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69.06</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69.06</w:t>
            </w: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p>
        </w:tc>
      </w:tr>
      <w:tr>
        <w:tblPrEx>
          <w:tblCellMar>
            <w:top w:w="0" w:type="dxa"/>
            <w:left w:w="108" w:type="dxa"/>
            <w:bottom w:w="0" w:type="dxa"/>
            <w:right w:w="108" w:type="dxa"/>
          </w:tblCellMar>
        </w:tblPrEx>
        <w:trPr>
          <w:trHeight w:val="366"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lang w:eastAsia="zh-CN"/>
              </w:rPr>
              <w:t>住房改革支出</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69.06</w:t>
            </w:r>
          </w:p>
        </w:tc>
        <w:tc>
          <w:tcPr>
            <w:tcW w:w="1842"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69.06</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30" w:hRule="atLeast"/>
        </w:trPr>
        <w:tc>
          <w:tcPr>
            <w:tcW w:w="568"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rPr>
              <w:t>住房公积金</w:t>
            </w:r>
          </w:p>
        </w:tc>
        <w:tc>
          <w:tcPr>
            <w:tcW w:w="1684"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69.06</w:t>
            </w:r>
          </w:p>
        </w:tc>
        <w:tc>
          <w:tcPr>
            <w:tcW w:w="1842" w:type="dxa"/>
            <w:gridSpan w:val="2"/>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69.06</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44"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hint="default" w:ascii="宋体" w:hAnsi="宋体" w:cs="宋体"/>
                <w:color w:val="000000"/>
                <w:kern w:val="0"/>
                <w:sz w:val="20"/>
                <w:szCs w:val="20"/>
                <w:lang w:val="en-US"/>
              </w:rPr>
            </w:pPr>
            <w:r>
              <w:rPr>
                <w:rFonts w:hint="eastAsia" w:ascii="仿宋_GB2312" w:hAnsi="宋体" w:eastAsia="仿宋_GB2312" w:cs="宋体"/>
                <w:color w:val="000000"/>
                <w:kern w:val="0"/>
                <w:sz w:val="18"/>
                <w:szCs w:val="18"/>
                <w:lang w:val="en-US" w:eastAsia="zh-CN"/>
              </w:rPr>
              <w:t>1002.69</w:t>
            </w:r>
          </w:p>
        </w:tc>
        <w:tc>
          <w:tcPr>
            <w:tcW w:w="1842" w:type="dxa"/>
            <w:gridSpan w:val="2"/>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hint="default" w:ascii="宋体" w:hAnsi="宋体" w:cs="宋体"/>
                <w:color w:val="000000"/>
                <w:kern w:val="0"/>
                <w:sz w:val="20"/>
                <w:szCs w:val="20"/>
                <w:lang w:val="en-US"/>
              </w:rPr>
            </w:pPr>
            <w:r>
              <w:rPr>
                <w:rFonts w:hint="eastAsia" w:ascii="仿宋_GB2312" w:hAnsi="宋体" w:eastAsia="仿宋_GB2312" w:cs="宋体"/>
                <w:color w:val="000000"/>
                <w:kern w:val="0"/>
                <w:sz w:val="18"/>
                <w:szCs w:val="18"/>
                <w:lang w:val="en-US" w:eastAsia="zh-CN"/>
              </w:rPr>
              <w:t>880.69</w:t>
            </w:r>
          </w:p>
        </w:tc>
        <w:tc>
          <w:tcPr>
            <w:tcW w:w="1701" w:type="dxa"/>
            <w:tcBorders>
              <w:top w:val="nil"/>
              <w:left w:val="nil"/>
              <w:bottom w:val="single" w:color="auto" w:sz="4" w:space="0"/>
              <w:right w:val="single" w:color="auto" w:sz="4" w:space="0"/>
            </w:tcBorders>
            <w:vAlign w:val="center"/>
          </w:tcPr>
          <w:p>
            <w:pPr>
              <w:widowControl/>
              <w:snapToGrid w:val="0"/>
              <w:spacing w:line="280" w:lineRule="exact"/>
              <w:jc w:val="center"/>
              <w:textAlignment w:val="baseline"/>
              <w:rPr>
                <w:rFonts w:hint="default" w:ascii="宋体" w:hAnsi="宋体" w:cs="宋体"/>
                <w:color w:val="000000"/>
                <w:kern w:val="0"/>
                <w:sz w:val="20"/>
                <w:szCs w:val="20"/>
                <w:lang w:val="en-US"/>
              </w:rPr>
            </w:pPr>
            <w:r>
              <w:rPr>
                <w:rFonts w:hint="eastAsia" w:ascii="仿宋_GB2312" w:hAnsi="宋体" w:eastAsia="仿宋_GB2312" w:cs="宋体"/>
                <w:color w:val="000000"/>
                <w:kern w:val="0"/>
                <w:sz w:val="18"/>
                <w:szCs w:val="18"/>
                <w:lang w:val="en-US" w:eastAsia="zh-CN"/>
              </w:rPr>
              <w:t>122</w:t>
            </w:r>
          </w:p>
        </w:tc>
      </w:tr>
    </w:tbl>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编制部门（单位）：昌吉州水利局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720.16</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宋体" w:hAnsi="宋体" w:cs="宋体"/>
                <w:color w:val="000000"/>
                <w:kern w:val="0"/>
                <w:sz w:val="20"/>
                <w:szCs w:val="20"/>
                <w:lang w:val="en-US" w:eastAsia="zh-CN"/>
              </w:rPr>
              <w:t>720.16</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eastAsia"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eastAsia="仿宋_GB2312"/>
                <w:color w:val="000000"/>
                <w:sz w:val="20"/>
                <w:szCs w:val="20"/>
              </w:rPr>
            </w:pPr>
            <w:r>
              <w:rPr>
                <w:rFonts w:hint="eastAsia" w:ascii="仿宋_GB2312" w:eastAsia="仿宋_GB2312"/>
                <w:color w:val="000000"/>
                <w:sz w:val="20"/>
                <w:szCs w:val="20"/>
              </w:rPr>
              <w:t>01</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基本工资</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239.95</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239.95</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kern w:val="0"/>
                <w:sz w:val="20"/>
                <w:szCs w:val="20"/>
              </w:rPr>
            </w:pPr>
            <w:r>
              <w:rPr>
                <w:rFonts w:hint="eastAsia" w:ascii="仿宋_GB2312" w:eastAsia="仿宋_GB2312"/>
                <w:color w:val="000000"/>
                <w:sz w:val="20"/>
                <w:szCs w:val="20"/>
              </w:rPr>
              <w:t>02</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仿宋_GB2312" w:hAnsi="宋体" w:eastAsia="仿宋_GB2312" w:cs="宋体"/>
                <w:color w:val="000000"/>
                <w:kern w:val="0"/>
                <w:sz w:val="20"/>
                <w:szCs w:val="20"/>
              </w:rPr>
            </w:pPr>
            <w:r>
              <w:rPr>
                <w:rFonts w:hint="eastAsia" w:ascii="仿宋_GB2312" w:eastAsia="仿宋_GB2312"/>
                <w:color w:val="000000"/>
                <w:sz w:val="20"/>
                <w:szCs w:val="20"/>
                <w:lang w:val="en-US" w:eastAsia="zh-CN"/>
              </w:rPr>
              <w:t>津贴补贴</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125.29</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125.29</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03</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奖金</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19.60</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19.60</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07</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绩效工资</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105.67</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105.67</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0</w:t>
            </w:r>
            <w:r>
              <w:rPr>
                <w:rFonts w:hint="eastAsia" w:ascii="仿宋_GB2312" w:eastAsia="仿宋_GB2312"/>
                <w:color w:val="000000"/>
                <w:sz w:val="20"/>
                <w:szCs w:val="20"/>
                <w:lang w:val="en-US" w:eastAsia="zh-CN"/>
              </w:rPr>
              <w:t>8</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18"/>
                <w:szCs w:val="18"/>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77.68</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77.68</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10</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城镇职工基本医疗保险缴费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46.12</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46.12</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1</w:t>
            </w:r>
            <w:r>
              <w:rPr>
                <w:rFonts w:hint="eastAsia" w:ascii="仿宋_GB2312" w:eastAsia="仿宋_GB2312"/>
                <w:color w:val="000000"/>
                <w:sz w:val="20"/>
                <w:szCs w:val="20"/>
                <w:lang w:val="en-US" w:eastAsia="zh-CN"/>
              </w:rPr>
              <w:t>1</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公务员医疗补助缴费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14.57</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14.57</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1</w:t>
            </w:r>
            <w:r>
              <w:rPr>
                <w:rFonts w:hint="eastAsia" w:ascii="仿宋_GB2312" w:eastAsia="仿宋_GB2312"/>
                <w:color w:val="000000"/>
                <w:sz w:val="20"/>
                <w:szCs w:val="20"/>
                <w:lang w:val="en-US" w:eastAsia="zh-CN"/>
              </w:rPr>
              <w:t>2</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1.76</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1.76</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1</w:t>
            </w:r>
            <w:r>
              <w:rPr>
                <w:rFonts w:hint="eastAsia" w:ascii="仿宋_GB2312" w:eastAsia="仿宋_GB2312"/>
                <w:color w:val="000000"/>
                <w:sz w:val="20"/>
                <w:szCs w:val="20"/>
                <w:lang w:val="en-US" w:eastAsia="zh-CN"/>
              </w:rPr>
              <w:t>3</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69.06</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69.06</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99</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其他工资福利支出</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20.46</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20.46</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eastAsia="仿宋_GB2312"/>
                <w:color w:val="000000"/>
                <w:sz w:val="20"/>
                <w:szCs w:val="20"/>
                <w:lang w:val="en-US" w:eastAsia="zh-CN"/>
              </w:rPr>
            </w:pP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87.52</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87.52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01</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办公费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5.23</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5.23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02</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印刷费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05</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水费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0.3</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0.3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06</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电费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4.5</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4.5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07</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邮电费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5.4</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5.4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08</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取暖费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5.12</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5.12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09</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物业管理费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12</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11</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差旅费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9.34</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9.34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13</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维修(护)费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16</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培训费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0.9</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0.9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17</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公务接待费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1.35</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1.35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26</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劳务费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28</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工会经费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9.14</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9.14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29</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福利费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8.22</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8.22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31</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公务用车运行维护费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10</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39</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其他交通费用</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w:t>
            </w:r>
          </w:p>
        </w:tc>
      </w:tr>
      <w:tr>
        <w:tblPrEx>
          <w:tblCellMar>
            <w:top w:w="0" w:type="dxa"/>
            <w:left w:w="108" w:type="dxa"/>
            <w:bottom w:w="0" w:type="dxa"/>
            <w:right w:w="108" w:type="dxa"/>
          </w:tblCellMar>
        </w:tblPrEx>
        <w:trPr>
          <w:trHeight w:val="443"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rPr>
              <w:t>99</w:t>
            </w: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其他商品和服务支出</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12.02</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12.02</w:t>
            </w:r>
          </w:p>
        </w:tc>
      </w:tr>
      <w:tr>
        <w:tblPrEx>
          <w:tblCellMar>
            <w:top w:w="0" w:type="dxa"/>
            <w:left w:w="108" w:type="dxa"/>
            <w:bottom w:w="0" w:type="dxa"/>
            <w:right w:w="108" w:type="dxa"/>
          </w:tblCellMar>
        </w:tblPrEx>
        <w:trPr>
          <w:trHeight w:val="443" w:hRule="atLeast"/>
        </w:trPr>
        <w:tc>
          <w:tcPr>
            <w:tcW w:w="757" w:type="dxa"/>
            <w:tcBorders>
              <w:top w:val="nil"/>
              <w:left w:val="single" w:color="auto" w:sz="4" w:space="0"/>
              <w:bottom w:val="single" w:color="auto" w:sz="4" w:space="0"/>
              <w:right w:val="single" w:color="auto" w:sz="4" w:space="0"/>
            </w:tcBorders>
            <w:vAlign w:val="center"/>
          </w:tcPr>
          <w:p>
            <w:pPr>
              <w:snapToGrid w:val="0"/>
              <w:jc w:val="center"/>
              <w:textAlignment w:val="baseline"/>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303</w:t>
            </w:r>
          </w:p>
        </w:tc>
        <w:tc>
          <w:tcPr>
            <w:tcW w:w="577"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eastAsia="仿宋_GB2312"/>
                <w:color w:val="000000"/>
                <w:sz w:val="20"/>
                <w:szCs w:val="20"/>
              </w:rPr>
            </w:pPr>
          </w:p>
        </w:tc>
        <w:tc>
          <w:tcPr>
            <w:tcW w:w="2891" w:type="dxa"/>
            <w:tcBorders>
              <w:top w:val="nil"/>
              <w:left w:val="nil"/>
              <w:bottom w:val="single" w:color="auto" w:sz="4" w:space="0"/>
              <w:right w:val="single" w:color="auto" w:sz="4" w:space="0"/>
            </w:tcBorders>
            <w:vAlign w:val="center"/>
          </w:tcPr>
          <w:p>
            <w:pPr>
              <w:snapToGrid w:val="0"/>
              <w:jc w:val="center"/>
              <w:textAlignment w:val="baseline"/>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对个人和家庭的补助</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73.01</w:t>
            </w:r>
          </w:p>
        </w:tc>
        <w:tc>
          <w:tcPr>
            <w:tcW w:w="1701" w:type="dxa"/>
            <w:gridSpan w:val="2"/>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73.01</w:t>
            </w:r>
          </w:p>
        </w:tc>
        <w:tc>
          <w:tcPr>
            <w:tcW w:w="1701" w:type="dxa"/>
            <w:tcBorders>
              <w:top w:val="nil"/>
              <w:left w:val="nil"/>
              <w:bottom w:val="single" w:color="auto" w:sz="4" w:space="0"/>
              <w:right w:val="single" w:color="auto" w:sz="4" w:space="0"/>
            </w:tcBorders>
            <w:vAlign w:val="center"/>
          </w:tcPr>
          <w:p>
            <w:pPr>
              <w:snapToGrid w:val="0"/>
              <w:jc w:val="right"/>
              <w:textAlignment w:val="baseline"/>
              <w:rPr>
                <w:rFonts w:hint="eastAsia" w:ascii="仿宋_GB2312" w:eastAsia="仿宋_GB2312"/>
                <w:color w:val="00000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仿宋" w:hAnsi="仿宋" w:eastAsia="仿宋" w:cs="仿宋"/>
                <w:color w:val="000000"/>
                <w:kern w:val="0"/>
                <w:sz w:val="20"/>
                <w:szCs w:val="20"/>
              </w:rPr>
              <w:t>离休费</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17.67</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17.67</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仿宋" w:hAnsi="仿宋" w:eastAsia="仿宋" w:cs="仿宋"/>
                <w:color w:val="000000"/>
                <w:kern w:val="0"/>
                <w:sz w:val="20"/>
                <w:szCs w:val="20"/>
              </w:rPr>
              <w:t>生活补助</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1.01</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1.01</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仿宋" w:hAnsi="仿宋" w:eastAsia="仿宋" w:cs="仿宋"/>
                <w:color w:val="000000"/>
                <w:kern w:val="0"/>
                <w:sz w:val="20"/>
                <w:szCs w:val="20"/>
              </w:rPr>
              <w:t>医疗费补助</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41.39</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41.39</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仿宋" w:hAnsi="仿宋" w:eastAsia="仿宋" w:cs="仿宋"/>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3.94</w:t>
            </w:r>
          </w:p>
        </w:tc>
        <w:tc>
          <w:tcPr>
            <w:tcW w:w="1701" w:type="dxa"/>
            <w:gridSpan w:val="2"/>
            <w:tcBorders>
              <w:top w:val="nil"/>
              <w:left w:val="nil"/>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3.94</w:t>
            </w:r>
          </w:p>
        </w:tc>
        <w:tc>
          <w:tcPr>
            <w:tcW w:w="1701" w:type="dxa"/>
            <w:tcBorders>
              <w:top w:val="nil"/>
              <w:left w:val="nil"/>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仿宋" w:hAnsi="仿宋" w:eastAsia="仿宋" w:cs="仿宋"/>
                <w:color w:val="000000"/>
                <w:kern w:val="0"/>
                <w:sz w:val="20"/>
                <w:szCs w:val="20"/>
              </w:rPr>
              <w:t>对个人和家庭的补助支出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9</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napToGrid w:val="0"/>
              <w:jc w:val="right"/>
              <w:textAlignment w:val="baseline"/>
              <w:rPr>
                <w:rFonts w:ascii="宋体" w:hAnsi="宋体" w:cs="宋体"/>
                <w:color w:val="000000"/>
                <w:kern w:val="0"/>
                <w:sz w:val="20"/>
                <w:szCs w:val="20"/>
              </w:rPr>
            </w:pPr>
            <w:r>
              <w:rPr>
                <w:rFonts w:hint="eastAsia" w:ascii="仿宋_GB2312" w:eastAsia="仿宋_GB2312"/>
                <w:color w:val="000000"/>
                <w:sz w:val="20"/>
                <w:szCs w:val="20"/>
                <w:lang w:val="en-US" w:eastAsia="zh-CN"/>
              </w:rPr>
              <w:t>9</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napToGrid w:val="0"/>
              <w:jc w:val="right"/>
              <w:textAlignment w:val="baseline"/>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single" w:color="auto" w:sz="4" w:space="0"/>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kern w:val="0"/>
                <w:sz w:val="18"/>
                <w:szCs w:val="18"/>
                <w:lang w:val="en-US" w:eastAsia="zh-CN"/>
              </w:rPr>
              <w:t>880.69</w:t>
            </w:r>
          </w:p>
        </w:tc>
        <w:tc>
          <w:tcPr>
            <w:tcW w:w="1701" w:type="dxa"/>
            <w:gridSpan w:val="2"/>
            <w:tcBorders>
              <w:top w:val="single" w:color="auto" w:sz="4" w:space="0"/>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kern w:val="0"/>
                <w:sz w:val="18"/>
                <w:szCs w:val="18"/>
                <w:lang w:val="en-US" w:eastAsia="zh-CN"/>
              </w:rPr>
              <w:t>793.17</w:t>
            </w:r>
          </w:p>
        </w:tc>
        <w:tc>
          <w:tcPr>
            <w:tcW w:w="1701" w:type="dxa"/>
            <w:tcBorders>
              <w:top w:val="single" w:color="auto" w:sz="4" w:space="0"/>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0"/>
                <w:szCs w:val="20"/>
              </w:rPr>
            </w:pPr>
            <w:r>
              <w:rPr>
                <w:rFonts w:hint="eastAsia" w:ascii="仿宋_GB2312" w:hAnsi="宋体" w:eastAsia="仿宋_GB2312" w:cs="宋体"/>
                <w:color w:val="000000"/>
                <w:kern w:val="0"/>
                <w:sz w:val="18"/>
                <w:szCs w:val="18"/>
                <w:lang w:val="en-US" w:eastAsia="zh-CN"/>
              </w:rPr>
              <w:t>87.52</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7"/>
        <w:tblW w:w="9540" w:type="dxa"/>
        <w:tblInd w:w="-360" w:type="dxa"/>
        <w:tblLayout w:type="fixed"/>
        <w:tblCellMar>
          <w:top w:w="0" w:type="dxa"/>
          <w:left w:w="108" w:type="dxa"/>
          <w:bottom w:w="0" w:type="dxa"/>
          <w:right w:w="108" w:type="dxa"/>
        </w:tblCellMar>
      </w:tblPr>
      <w:tblGrid>
        <w:gridCol w:w="8"/>
        <w:gridCol w:w="491"/>
        <w:gridCol w:w="464"/>
        <w:gridCol w:w="422"/>
        <w:gridCol w:w="955"/>
        <w:gridCol w:w="1309"/>
        <w:gridCol w:w="599"/>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昌吉州水利局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85"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5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09"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59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99"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64"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2"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5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30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9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9" w:type="dxa"/>
            <w:gridSpan w:val="2"/>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213</w:t>
            </w:r>
          </w:p>
        </w:tc>
        <w:tc>
          <w:tcPr>
            <w:tcW w:w="464" w:type="dxa"/>
            <w:vAlign w:val="center"/>
          </w:tcPr>
          <w:p>
            <w:pPr>
              <w:snapToGrid w:val="0"/>
              <w:jc w:val="center"/>
              <w:textAlignment w:val="baseline"/>
              <w:rPr>
                <w:rFonts w:ascii="仿宋_GB2312" w:hAnsi="宋体" w:eastAsia="仿宋_GB2312"/>
                <w:kern w:val="0"/>
                <w:sz w:val="32"/>
                <w:szCs w:val="32"/>
              </w:rPr>
            </w:pPr>
          </w:p>
        </w:tc>
        <w:tc>
          <w:tcPr>
            <w:tcW w:w="422" w:type="dxa"/>
            <w:vAlign w:val="center"/>
          </w:tcPr>
          <w:p>
            <w:pPr>
              <w:snapToGrid w:val="0"/>
              <w:jc w:val="center"/>
              <w:textAlignment w:val="baseline"/>
              <w:rPr>
                <w:rFonts w:ascii="仿宋_GB2312" w:hAnsi="宋体" w:eastAsia="仿宋_GB2312"/>
                <w:kern w:val="0"/>
                <w:sz w:val="32"/>
                <w:szCs w:val="32"/>
              </w:rPr>
            </w:pPr>
          </w:p>
        </w:tc>
        <w:tc>
          <w:tcPr>
            <w:tcW w:w="955"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kern w:val="0"/>
                <w:sz w:val="18"/>
                <w:szCs w:val="18"/>
                <w:lang w:eastAsia="zh-CN"/>
              </w:rPr>
              <w:t>农林水支出</w:t>
            </w:r>
          </w:p>
        </w:tc>
        <w:tc>
          <w:tcPr>
            <w:tcW w:w="1309" w:type="dxa"/>
            <w:vAlign w:val="center"/>
          </w:tcPr>
          <w:p>
            <w:pPr>
              <w:snapToGrid w:val="0"/>
              <w:jc w:val="center"/>
              <w:textAlignment w:val="baseline"/>
              <w:rPr>
                <w:rFonts w:ascii="仿宋_GB2312" w:hAnsi="宋体" w:eastAsia="仿宋_GB2312"/>
                <w:kern w:val="0"/>
                <w:sz w:val="32"/>
                <w:szCs w:val="32"/>
              </w:rPr>
            </w:pPr>
          </w:p>
        </w:tc>
        <w:tc>
          <w:tcPr>
            <w:tcW w:w="599" w:type="dxa"/>
            <w:vAlign w:val="center"/>
          </w:tcPr>
          <w:p>
            <w:pPr>
              <w:snapToGrid w:val="0"/>
              <w:jc w:val="center"/>
              <w:textAlignment w:val="baseline"/>
              <w:rPr>
                <w:rFonts w:hint="default" w:ascii="仿宋_GB2312" w:hAnsi="宋体" w:eastAsia="仿宋_GB2312"/>
                <w:kern w:val="0"/>
                <w:sz w:val="32"/>
                <w:szCs w:val="32"/>
                <w:lang w:val="en-US" w:eastAsia="zh-CN"/>
              </w:rPr>
            </w:pPr>
            <w:r>
              <w:rPr>
                <w:rFonts w:hint="eastAsia" w:ascii="仿宋_GB2312" w:hAnsi="宋体" w:eastAsia="仿宋_GB2312" w:cs="宋体"/>
                <w:color w:val="000000"/>
                <w:sz w:val="18"/>
                <w:szCs w:val="18"/>
                <w:lang w:val="en-US" w:eastAsia="zh-CN"/>
              </w:rPr>
              <w:t>122</w:t>
            </w:r>
          </w:p>
        </w:tc>
        <w:tc>
          <w:tcPr>
            <w:tcW w:w="569" w:type="dxa"/>
            <w:gridSpan w:val="2"/>
            <w:vAlign w:val="center"/>
          </w:tcPr>
          <w:p>
            <w:pPr>
              <w:widowControl/>
              <w:snapToGrid w:val="0"/>
              <w:jc w:val="center"/>
              <w:textAlignment w:val="baseline"/>
              <w:rPr>
                <w:rFonts w:ascii="仿宋_GB2312" w:hAnsi="宋体" w:eastAsia="仿宋_GB2312"/>
                <w:kern w:val="0"/>
                <w:sz w:val="32"/>
                <w:szCs w:val="32"/>
              </w:rPr>
            </w:pPr>
          </w:p>
        </w:tc>
        <w:tc>
          <w:tcPr>
            <w:tcW w:w="536" w:type="dxa"/>
            <w:vAlign w:val="center"/>
          </w:tcPr>
          <w:p>
            <w:pPr>
              <w:snapToGrid w:val="0"/>
              <w:jc w:val="center"/>
              <w:textAlignment w:val="baseline"/>
              <w:rPr>
                <w:rFonts w:hint="default" w:ascii="仿宋_GB2312" w:hAnsi="宋体" w:eastAsia="仿宋_GB2312"/>
                <w:kern w:val="0"/>
                <w:sz w:val="32"/>
                <w:szCs w:val="32"/>
                <w:lang w:val="en-US" w:eastAsia="zh-CN"/>
              </w:rPr>
            </w:pPr>
            <w:r>
              <w:rPr>
                <w:rFonts w:hint="eastAsia" w:ascii="仿宋_GB2312" w:hAnsi="宋体" w:eastAsia="仿宋_GB2312" w:cs="宋体"/>
                <w:color w:val="000000"/>
                <w:sz w:val="18"/>
                <w:szCs w:val="18"/>
                <w:lang w:val="en-US" w:eastAsia="zh-CN"/>
              </w:rPr>
              <w:t>122</w:t>
            </w: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578" w:type="dxa"/>
            <w:gridSpan w:val="2"/>
            <w:vAlign w:val="center"/>
          </w:tcPr>
          <w:p>
            <w:pPr>
              <w:widowControl/>
              <w:snapToGrid w:val="0"/>
              <w:jc w:val="center"/>
              <w:textAlignment w:val="baseline"/>
              <w:rPr>
                <w:rFonts w:ascii="仿宋_GB2312" w:hAnsi="宋体" w:eastAsia="仿宋_GB2312"/>
                <w:kern w:val="0"/>
                <w:sz w:val="32"/>
                <w:szCs w:val="32"/>
              </w:rPr>
            </w:pPr>
          </w:p>
        </w:tc>
        <w:tc>
          <w:tcPr>
            <w:tcW w:w="419" w:type="dxa"/>
            <w:vAlign w:val="center"/>
          </w:tcPr>
          <w:p>
            <w:pPr>
              <w:widowControl/>
              <w:snapToGrid w:val="0"/>
              <w:jc w:val="center"/>
              <w:textAlignment w:val="baseline"/>
              <w:rPr>
                <w:rFonts w:ascii="仿宋_GB2312" w:hAnsi="宋体" w:eastAsia="仿宋_GB2312"/>
                <w:kern w:val="0"/>
                <w:sz w:val="32"/>
                <w:szCs w:val="32"/>
              </w:rPr>
            </w:pPr>
          </w:p>
        </w:tc>
        <w:tc>
          <w:tcPr>
            <w:tcW w:w="578"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68" w:type="dxa"/>
            <w:gridSpan w:val="2"/>
            <w:vAlign w:val="center"/>
          </w:tcPr>
          <w:p>
            <w:pPr>
              <w:widowControl/>
              <w:snapToGrid w:val="0"/>
              <w:jc w:val="center"/>
              <w:textAlignment w:val="baseline"/>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9" w:type="dxa"/>
            <w:gridSpan w:val="2"/>
            <w:vAlign w:val="center"/>
          </w:tcPr>
          <w:p>
            <w:pPr>
              <w:snapToGrid w:val="0"/>
              <w:jc w:val="center"/>
              <w:textAlignment w:val="baseline"/>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64" w:type="dxa"/>
            <w:vAlign w:val="center"/>
          </w:tcPr>
          <w:p>
            <w:pPr>
              <w:snapToGrid w:val="0"/>
              <w:jc w:val="center"/>
              <w:textAlignment w:val="baseline"/>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422" w:type="dxa"/>
            <w:vAlign w:val="center"/>
          </w:tcPr>
          <w:p>
            <w:pPr>
              <w:snapToGrid w:val="0"/>
              <w:jc w:val="center"/>
              <w:textAlignment w:val="baseline"/>
              <w:rPr>
                <w:rFonts w:hint="eastAsia" w:ascii="仿宋_GB2312" w:hAnsi="宋体" w:eastAsia="仿宋_GB2312" w:cs="宋体"/>
                <w:color w:val="000000"/>
                <w:sz w:val="18"/>
                <w:szCs w:val="18"/>
              </w:rPr>
            </w:pPr>
          </w:p>
        </w:tc>
        <w:tc>
          <w:tcPr>
            <w:tcW w:w="955" w:type="dxa"/>
            <w:vAlign w:val="center"/>
          </w:tcPr>
          <w:p>
            <w:pPr>
              <w:snapToGrid w:val="0"/>
              <w:jc w:val="center"/>
              <w:textAlignment w:val="baseline"/>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水利</w:t>
            </w:r>
          </w:p>
        </w:tc>
        <w:tc>
          <w:tcPr>
            <w:tcW w:w="1309" w:type="dxa"/>
            <w:vAlign w:val="center"/>
          </w:tcPr>
          <w:p>
            <w:pPr>
              <w:snapToGrid w:val="0"/>
              <w:jc w:val="center"/>
              <w:textAlignment w:val="baseline"/>
              <w:rPr>
                <w:rFonts w:hint="eastAsia" w:ascii="仿宋_GB2312" w:hAnsi="宋体" w:eastAsia="仿宋_GB2312" w:cs="宋体"/>
                <w:color w:val="000000"/>
                <w:sz w:val="18"/>
                <w:szCs w:val="18"/>
                <w:lang w:eastAsia="zh-CN"/>
              </w:rPr>
            </w:pPr>
          </w:p>
        </w:tc>
        <w:tc>
          <w:tcPr>
            <w:tcW w:w="599" w:type="dxa"/>
            <w:vAlign w:val="center"/>
          </w:tcPr>
          <w:p>
            <w:pPr>
              <w:snapToGrid w:val="0"/>
              <w:jc w:val="center"/>
              <w:textAlignment w:val="baseline"/>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122</w:t>
            </w:r>
          </w:p>
        </w:tc>
        <w:tc>
          <w:tcPr>
            <w:tcW w:w="569" w:type="dxa"/>
            <w:gridSpan w:val="2"/>
            <w:vAlign w:val="center"/>
          </w:tcPr>
          <w:p>
            <w:pPr>
              <w:widowControl/>
              <w:snapToGrid w:val="0"/>
              <w:jc w:val="center"/>
              <w:textAlignment w:val="baseline"/>
              <w:rPr>
                <w:rFonts w:ascii="仿宋_GB2312" w:hAnsi="宋体" w:eastAsia="仿宋_GB2312"/>
                <w:kern w:val="0"/>
                <w:sz w:val="32"/>
                <w:szCs w:val="32"/>
              </w:rPr>
            </w:pPr>
          </w:p>
        </w:tc>
        <w:tc>
          <w:tcPr>
            <w:tcW w:w="536" w:type="dxa"/>
            <w:vAlign w:val="center"/>
          </w:tcPr>
          <w:p>
            <w:pPr>
              <w:snapToGrid w:val="0"/>
              <w:jc w:val="center"/>
              <w:textAlignment w:val="baseline"/>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122</w:t>
            </w: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578" w:type="dxa"/>
            <w:gridSpan w:val="2"/>
            <w:vAlign w:val="center"/>
          </w:tcPr>
          <w:p>
            <w:pPr>
              <w:widowControl/>
              <w:snapToGrid w:val="0"/>
              <w:jc w:val="center"/>
              <w:textAlignment w:val="baseline"/>
              <w:rPr>
                <w:rFonts w:ascii="仿宋_GB2312" w:hAnsi="宋体" w:eastAsia="仿宋_GB2312"/>
                <w:kern w:val="0"/>
                <w:sz w:val="32"/>
                <w:szCs w:val="32"/>
              </w:rPr>
            </w:pPr>
          </w:p>
        </w:tc>
        <w:tc>
          <w:tcPr>
            <w:tcW w:w="419" w:type="dxa"/>
            <w:vAlign w:val="center"/>
          </w:tcPr>
          <w:p>
            <w:pPr>
              <w:widowControl/>
              <w:snapToGrid w:val="0"/>
              <w:jc w:val="center"/>
              <w:textAlignment w:val="baseline"/>
              <w:rPr>
                <w:rFonts w:ascii="仿宋_GB2312" w:hAnsi="宋体" w:eastAsia="仿宋_GB2312"/>
                <w:kern w:val="0"/>
                <w:sz w:val="32"/>
                <w:szCs w:val="32"/>
              </w:rPr>
            </w:pPr>
          </w:p>
        </w:tc>
        <w:tc>
          <w:tcPr>
            <w:tcW w:w="578"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68" w:type="dxa"/>
            <w:gridSpan w:val="2"/>
            <w:vAlign w:val="center"/>
          </w:tcPr>
          <w:p>
            <w:pPr>
              <w:widowControl/>
              <w:snapToGrid w:val="0"/>
              <w:jc w:val="center"/>
              <w:textAlignment w:val="baseline"/>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9" w:type="dxa"/>
            <w:gridSpan w:val="2"/>
            <w:vAlign w:val="center"/>
          </w:tcPr>
          <w:p>
            <w:pPr>
              <w:snapToGrid w:val="0"/>
              <w:jc w:val="center"/>
              <w:textAlignment w:val="baseline"/>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64" w:type="dxa"/>
            <w:vAlign w:val="center"/>
          </w:tcPr>
          <w:p>
            <w:pPr>
              <w:snapToGrid w:val="0"/>
              <w:jc w:val="center"/>
              <w:textAlignment w:val="baseline"/>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422" w:type="dxa"/>
            <w:vAlign w:val="center"/>
          </w:tcPr>
          <w:p>
            <w:pPr>
              <w:snapToGrid w:val="0"/>
              <w:jc w:val="center"/>
              <w:textAlignment w:val="baseline"/>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09</w:t>
            </w:r>
          </w:p>
        </w:tc>
        <w:tc>
          <w:tcPr>
            <w:tcW w:w="955" w:type="dxa"/>
            <w:vAlign w:val="center"/>
          </w:tcPr>
          <w:p>
            <w:pPr>
              <w:snapToGrid w:val="0"/>
              <w:jc w:val="center"/>
              <w:textAlignment w:val="baseline"/>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水利执法监督</w:t>
            </w:r>
          </w:p>
        </w:tc>
        <w:tc>
          <w:tcPr>
            <w:tcW w:w="1309" w:type="dxa"/>
            <w:vAlign w:val="center"/>
          </w:tcPr>
          <w:p>
            <w:pPr>
              <w:snapToGrid w:val="0"/>
              <w:jc w:val="center"/>
              <w:textAlignment w:val="baseline"/>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水政执法工作经费</w:t>
            </w:r>
          </w:p>
        </w:tc>
        <w:tc>
          <w:tcPr>
            <w:tcW w:w="599" w:type="dxa"/>
            <w:vAlign w:val="center"/>
          </w:tcPr>
          <w:p>
            <w:pPr>
              <w:snapToGrid w:val="0"/>
              <w:jc w:val="center"/>
              <w:textAlignment w:val="baseline"/>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569" w:type="dxa"/>
            <w:gridSpan w:val="2"/>
            <w:vAlign w:val="center"/>
          </w:tcPr>
          <w:p>
            <w:pPr>
              <w:widowControl/>
              <w:snapToGrid w:val="0"/>
              <w:jc w:val="center"/>
              <w:textAlignment w:val="baseline"/>
              <w:rPr>
                <w:rFonts w:ascii="仿宋_GB2312" w:hAnsi="宋体" w:eastAsia="仿宋_GB2312"/>
                <w:kern w:val="0"/>
                <w:sz w:val="32"/>
                <w:szCs w:val="32"/>
              </w:rPr>
            </w:pPr>
          </w:p>
        </w:tc>
        <w:tc>
          <w:tcPr>
            <w:tcW w:w="536" w:type="dxa"/>
            <w:vAlign w:val="center"/>
          </w:tcPr>
          <w:p>
            <w:pPr>
              <w:snapToGrid w:val="0"/>
              <w:jc w:val="center"/>
              <w:textAlignment w:val="baseline"/>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578" w:type="dxa"/>
            <w:gridSpan w:val="2"/>
            <w:vAlign w:val="center"/>
          </w:tcPr>
          <w:p>
            <w:pPr>
              <w:widowControl/>
              <w:snapToGrid w:val="0"/>
              <w:jc w:val="center"/>
              <w:textAlignment w:val="baseline"/>
              <w:rPr>
                <w:rFonts w:ascii="仿宋_GB2312" w:hAnsi="宋体" w:eastAsia="仿宋_GB2312"/>
                <w:kern w:val="0"/>
                <w:sz w:val="32"/>
                <w:szCs w:val="32"/>
              </w:rPr>
            </w:pPr>
          </w:p>
        </w:tc>
        <w:tc>
          <w:tcPr>
            <w:tcW w:w="419" w:type="dxa"/>
            <w:vAlign w:val="center"/>
          </w:tcPr>
          <w:p>
            <w:pPr>
              <w:widowControl/>
              <w:snapToGrid w:val="0"/>
              <w:jc w:val="center"/>
              <w:textAlignment w:val="baseline"/>
              <w:rPr>
                <w:rFonts w:ascii="仿宋_GB2312" w:hAnsi="宋体" w:eastAsia="仿宋_GB2312"/>
                <w:kern w:val="0"/>
                <w:sz w:val="32"/>
                <w:szCs w:val="32"/>
              </w:rPr>
            </w:pPr>
          </w:p>
        </w:tc>
        <w:tc>
          <w:tcPr>
            <w:tcW w:w="578"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68" w:type="dxa"/>
            <w:gridSpan w:val="2"/>
            <w:vAlign w:val="center"/>
          </w:tcPr>
          <w:p>
            <w:pPr>
              <w:widowControl/>
              <w:snapToGrid w:val="0"/>
              <w:jc w:val="center"/>
              <w:textAlignment w:val="baseline"/>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9" w:type="dxa"/>
            <w:gridSpan w:val="2"/>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213</w:t>
            </w:r>
          </w:p>
        </w:tc>
        <w:tc>
          <w:tcPr>
            <w:tcW w:w="464"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03</w:t>
            </w:r>
          </w:p>
        </w:tc>
        <w:tc>
          <w:tcPr>
            <w:tcW w:w="422"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11</w:t>
            </w:r>
          </w:p>
        </w:tc>
        <w:tc>
          <w:tcPr>
            <w:tcW w:w="955"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水资源节约管理与保护</w:t>
            </w:r>
          </w:p>
        </w:tc>
        <w:tc>
          <w:tcPr>
            <w:tcW w:w="1309"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lang w:eastAsia="zh-CN"/>
              </w:rPr>
              <w:t>昌吉最严格水资源管理制度考核经费</w:t>
            </w:r>
          </w:p>
        </w:tc>
        <w:tc>
          <w:tcPr>
            <w:tcW w:w="599"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10</w:t>
            </w:r>
          </w:p>
        </w:tc>
        <w:tc>
          <w:tcPr>
            <w:tcW w:w="569" w:type="dxa"/>
            <w:gridSpan w:val="2"/>
            <w:vAlign w:val="center"/>
          </w:tcPr>
          <w:p>
            <w:pPr>
              <w:widowControl/>
              <w:snapToGrid w:val="0"/>
              <w:jc w:val="center"/>
              <w:textAlignment w:val="baseline"/>
              <w:rPr>
                <w:rFonts w:ascii="仿宋_GB2312" w:hAnsi="宋体" w:eastAsia="仿宋_GB2312"/>
                <w:kern w:val="0"/>
                <w:sz w:val="32"/>
                <w:szCs w:val="32"/>
              </w:rPr>
            </w:pPr>
          </w:p>
        </w:tc>
        <w:tc>
          <w:tcPr>
            <w:tcW w:w="536"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10</w:t>
            </w: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578" w:type="dxa"/>
            <w:gridSpan w:val="2"/>
            <w:vAlign w:val="center"/>
          </w:tcPr>
          <w:p>
            <w:pPr>
              <w:widowControl/>
              <w:snapToGrid w:val="0"/>
              <w:jc w:val="center"/>
              <w:textAlignment w:val="baseline"/>
              <w:rPr>
                <w:rFonts w:ascii="仿宋_GB2312" w:hAnsi="宋体" w:eastAsia="仿宋_GB2312"/>
                <w:kern w:val="0"/>
                <w:sz w:val="32"/>
                <w:szCs w:val="32"/>
              </w:rPr>
            </w:pPr>
          </w:p>
        </w:tc>
        <w:tc>
          <w:tcPr>
            <w:tcW w:w="419" w:type="dxa"/>
            <w:vAlign w:val="center"/>
          </w:tcPr>
          <w:p>
            <w:pPr>
              <w:widowControl/>
              <w:snapToGrid w:val="0"/>
              <w:jc w:val="center"/>
              <w:textAlignment w:val="baseline"/>
              <w:rPr>
                <w:rFonts w:ascii="仿宋_GB2312" w:hAnsi="宋体" w:eastAsia="仿宋_GB2312"/>
                <w:kern w:val="0"/>
                <w:sz w:val="32"/>
                <w:szCs w:val="32"/>
              </w:rPr>
            </w:pPr>
          </w:p>
        </w:tc>
        <w:tc>
          <w:tcPr>
            <w:tcW w:w="578"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68" w:type="dxa"/>
            <w:gridSpan w:val="2"/>
            <w:vAlign w:val="center"/>
          </w:tcPr>
          <w:p>
            <w:pPr>
              <w:widowControl/>
              <w:snapToGrid w:val="0"/>
              <w:jc w:val="center"/>
              <w:textAlignment w:val="baseline"/>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9" w:type="dxa"/>
            <w:gridSpan w:val="2"/>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213</w:t>
            </w:r>
          </w:p>
        </w:tc>
        <w:tc>
          <w:tcPr>
            <w:tcW w:w="464"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03</w:t>
            </w:r>
          </w:p>
        </w:tc>
        <w:tc>
          <w:tcPr>
            <w:tcW w:w="422"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14</w:t>
            </w:r>
          </w:p>
        </w:tc>
        <w:tc>
          <w:tcPr>
            <w:tcW w:w="955"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防汛</w:t>
            </w:r>
          </w:p>
        </w:tc>
        <w:tc>
          <w:tcPr>
            <w:tcW w:w="1309" w:type="dxa"/>
            <w:vAlign w:val="center"/>
          </w:tcPr>
          <w:p>
            <w:pPr>
              <w:snapToGrid w:val="0"/>
              <w:jc w:val="center"/>
              <w:textAlignment w:val="baseline"/>
              <w:rPr>
                <w:rFonts w:ascii="仿宋_GB2312" w:hAnsi="宋体" w:eastAsia="仿宋_GB2312"/>
                <w:kern w:val="0"/>
                <w:sz w:val="32"/>
                <w:szCs w:val="32"/>
              </w:rPr>
            </w:pPr>
            <w:r>
              <w:rPr>
                <w:rFonts w:ascii="仿宋_GB2312" w:hAnsi="宋体" w:eastAsia="仿宋_GB2312" w:cs="宋体"/>
                <w:color w:val="000000"/>
                <w:sz w:val="18"/>
                <w:szCs w:val="18"/>
              </w:rPr>
              <w:t>防汛抗旱工作经费</w:t>
            </w:r>
          </w:p>
        </w:tc>
        <w:tc>
          <w:tcPr>
            <w:tcW w:w="599"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10</w:t>
            </w:r>
          </w:p>
        </w:tc>
        <w:tc>
          <w:tcPr>
            <w:tcW w:w="569" w:type="dxa"/>
            <w:gridSpan w:val="2"/>
            <w:vAlign w:val="center"/>
          </w:tcPr>
          <w:p>
            <w:pPr>
              <w:widowControl/>
              <w:snapToGrid w:val="0"/>
              <w:jc w:val="center"/>
              <w:textAlignment w:val="baseline"/>
              <w:rPr>
                <w:rFonts w:ascii="仿宋_GB2312" w:hAnsi="宋体" w:eastAsia="仿宋_GB2312"/>
                <w:kern w:val="0"/>
                <w:sz w:val="32"/>
                <w:szCs w:val="32"/>
              </w:rPr>
            </w:pPr>
          </w:p>
        </w:tc>
        <w:tc>
          <w:tcPr>
            <w:tcW w:w="536"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10</w:t>
            </w: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578" w:type="dxa"/>
            <w:gridSpan w:val="2"/>
            <w:vAlign w:val="center"/>
          </w:tcPr>
          <w:p>
            <w:pPr>
              <w:widowControl/>
              <w:snapToGrid w:val="0"/>
              <w:jc w:val="center"/>
              <w:textAlignment w:val="baseline"/>
              <w:rPr>
                <w:rFonts w:ascii="仿宋_GB2312" w:hAnsi="宋体" w:eastAsia="仿宋_GB2312"/>
                <w:kern w:val="0"/>
                <w:sz w:val="32"/>
                <w:szCs w:val="32"/>
              </w:rPr>
            </w:pPr>
          </w:p>
        </w:tc>
        <w:tc>
          <w:tcPr>
            <w:tcW w:w="419" w:type="dxa"/>
            <w:vAlign w:val="center"/>
          </w:tcPr>
          <w:p>
            <w:pPr>
              <w:widowControl/>
              <w:snapToGrid w:val="0"/>
              <w:jc w:val="center"/>
              <w:textAlignment w:val="baseline"/>
              <w:rPr>
                <w:rFonts w:ascii="仿宋_GB2312" w:hAnsi="宋体" w:eastAsia="仿宋_GB2312"/>
                <w:kern w:val="0"/>
                <w:sz w:val="32"/>
                <w:szCs w:val="32"/>
              </w:rPr>
            </w:pPr>
          </w:p>
        </w:tc>
        <w:tc>
          <w:tcPr>
            <w:tcW w:w="578"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68" w:type="dxa"/>
            <w:gridSpan w:val="2"/>
            <w:vAlign w:val="center"/>
          </w:tcPr>
          <w:p>
            <w:pPr>
              <w:widowControl/>
              <w:snapToGrid w:val="0"/>
              <w:jc w:val="center"/>
              <w:textAlignment w:val="baseline"/>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9" w:type="dxa"/>
            <w:gridSpan w:val="2"/>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213</w:t>
            </w:r>
          </w:p>
        </w:tc>
        <w:tc>
          <w:tcPr>
            <w:tcW w:w="464"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03</w:t>
            </w:r>
          </w:p>
        </w:tc>
        <w:tc>
          <w:tcPr>
            <w:tcW w:w="422"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1</w:t>
            </w:r>
            <w:r>
              <w:rPr>
                <w:rFonts w:hint="eastAsia" w:ascii="仿宋_GB2312" w:hAnsi="宋体" w:eastAsia="仿宋_GB2312" w:cs="宋体"/>
                <w:color w:val="000000"/>
                <w:sz w:val="18"/>
                <w:szCs w:val="18"/>
                <w:lang w:val="en-US" w:eastAsia="zh-CN"/>
              </w:rPr>
              <w:t>6</w:t>
            </w:r>
          </w:p>
        </w:tc>
        <w:tc>
          <w:tcPr>
            <w:tcW w:w="955"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农村水利</w:t>
            </w:r>
          </w:p>
        </w:tc>
        <w:tc>
          <w:tcPr>
            <w:tcW w:w="1309" w:type="dxa"/>
            <w:vAlign w:val="center"/>
          </w:tcPr>
          <w:p>
            <w:pPr>
              <w:snapToGrid w:val="0"/>
              <w:jc w:val="center"/>
              <w:textAlignment w:val="baseline"/>
              <w:rPr>
                <w:rFonts w:ascii="仿宋_GB2312" w:hAnsi="宋体" w:eastAsia="仿宋_GB2312"/>
                <w:kern w:val="0"/>
                <w:sz w:val="32"/>
                <w:szCs w:val="32"/>
              </w:rPr>
            </w:pPr>
            <w:r>
              <w:rPr>
                <w:rFonts w:ascii="仿宋_GB2312" w:hAnsi="宋体" w:eastAsia="仿宋_GB2312" w:cs="宋体"/>
                <w:color w:val="000000"/>
                <w:sz w:val="18"/>
                <w:szCs w:val="18"/>
              </w:rPr>
              <w:t>农村饮水安全经费</w:t>
            </w:r>
          </w:p>
        </w:tc>
        <w:tc>
          <w:tcPr>
            <w:tcW w:w="599"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10</w:t>
            </w:r>
          </w:p>
        </w:tc>
        <w:tc>
          <w:tcPr>
            <w:tcW w:w="569" w:type="dxa"/>
            <w:gridSpan w:val="2"/>
            <w:vAlign w:val="center"/>
          </w:tcPr>
          <w:p>
            <w:pPr>
              <w:widowControl/>
              <w:snapToGrid w:val="0"/>
              <w:jc w:val="center"/>
              <w:textAlignment w:val="baseline"/>
              <w:rPr>
                <w:rFonts w:ascii="仿宋_GB2312" w:hAnsi="宋体" w:eastAsia="仿宋_GB2312"/>
                <w:kern w:val="0"/>
                <w:sz w:val="32"/>
                <w:szCs w:val="32"/>
              </w:rPr>
            </w:pPr>
          </w:p>
        </w:tc>
        <w:tc>
          <w:tcPr>
            <w:tcW w:w="536"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lang w:val="en-US" w:eastAsia="zh-CN"/>
              </w:rPr>
              <w:t>10</w:t>
            </w: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578" w:type="dxa"/>
            <w:gridSpan w:val="2"/>
            <w:vAlign w:val="center"/>
          </w:tcPr>
          <w:p>
            <w:pPr>
              <w:widowControl/>
              <w:snapToGrid w:val="0"/>
              <w:jc w:val="center"/>
              <w:textAlignment w:val="baseline"/>
              <w:rPr>
                <w:rFonts w:ascii="仿宋_GB2312" w:hAnsi="宋体" w:eastAsia="仿宋_GB2312"/>
                <w:kern w:val="0"/>
                <w:sz w:val="32"/>
                <w:szCs w:val="32"/>
              </w:rPr>
            </w:pPr>
          </w:p>
        </w:tc>
        <w:tc>
          <w:tcPr>
            <w:tcW w:w="419" w:type="dxa"/>
            <w:vAlign w:val="center"/>
          </w:tcPr>
          <w:p>
            <w:pPr>
              <w:widowControl/>
              <w:snapToGrid w:val="0"/>
              <w:jc w:val="center"/>
              <w:textAlignment w:val="baseline"/>
              <w:rPr>
                <w:rFonts w:ascii="仿宋_GB2312" w:hAnsi="宋体" w:eastAsia="仿宋_GB2312"/>
                <w:kern w:val="0"/>
                <w:sz w:val="32"/>
                <w:szCs w:val="32"/>
              </w:rPr>
            </w:pPr>
          </w:p>
        </w:tc>
        <w:tc>
          <w:tcPr>
            <w:tcW w:w="578"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68" w:type="dxa"/>
            <w:gridSpan w:val="2"/>
            <w:vAlign w:val="center"/>
          </w:tcPr>
          <w:p>
            <w:pPr>
              <w:widowControl/>
              <w:snapToGrid w:val="0"/>
              <w:jc w:val="center"/>
              <w:textAlignment w:val="baseline"/>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9" w:type="dxa"/>
            <w:gridSpan w:val="2"/>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213</w:t>
            </w:r>
          </w:p>
        </w:tc>
        <w:tc>
          <w:tcPr>
            <w:tcW w:w="464"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03</w:t>
            </w:r>
          </w:p>
        </w:tc>
        <w:tc>
          <w:tcPr>
            <w:tcW w:w="422"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19</w:t>
            </w:r>
          </w:p>
        </w:tc>
        <w:tc>
          <w:tcPr>
            <w:tcW w:w="955"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江河湖库水系综合整治</w:t>
            </w:r>
          </w:p>
        </w:tc>
        <w:tc>
          <w:tcPr>
            <w:tcW w:w="1309" w:type="dxa"/>
            <w:vAlign w:val="center"/>
          </w:tcPr>
          <w:p>
            <w:pPr>
              <w:widowControl/>
              <w:snapToGrid w:val="0"/>
              <w:jc w:val="center"/>
              <w:textAlignment w:val="baseline"/>
              <w:rPr>
                <w:rFonts w:ascii="仿宋_GB2312" w:hAnsi="宋体" w:eastAsia="仿宋_GB2312"/>
                <w:kern w:val="0"/>
                <w:sz w:val="32"/>
                <w:szCs w:val="32"/>
              </w:rPr>
            </w:pPr>
            <w:r>
              <w:rPr>
                <w:rFonts w:ascii="仿宋_GB2312" w:hAnsi="宋体" w:eastAsia="仿宋_GB2312" w:cs="宋体"/>
                <w:color w:val="000000"/>
                <w:sz w:val="18"/>
                <w:szCs w:val="18"/>
              </w:rPr>
              <w:t>河湖长制工作经费</w:t>
            </w:r>
          </w:p>
        </w:tc>
        <w:tc>
          <w:tcPr>
            <w:tcW w:w="599" w:type="dxa"/>
            <w:vAlign w:val="center"/>
          </w:tcPr>
          <w:p>
            <w:pPr>
              <w:widowControl/>
              <w:snapToGrid w:val="0"/>
              <w:jc w:val="center"/>
              <w:textAlignment w:val="baseline"/>
              <w:rPr>
                <w:rFonts w:ascii="仿宋_GB2312" w:hAnsi="宋体" w:eastAsia="仿宋_GB2312"/>
                <w:kern w:val="0"/>
                <w:sz w:val="32"/>
                <w:szCs w:val="32"/>
              </w:rPr>
            </w:pPr>
            <w:r>
              <w:rPr>
                <w:rFonts w:hint="eastAsia" w:ascii="仿宋_GB2312" w:hAnsi="宋体" w:eastAsia="仿宋_GB2312"/>
                <w:kern w:val="0"/>
                <w:sz w:val="18"/>
                <w:szCs w:val="18"/>
                <w:lang w:val="en-US" w:eastAsia="zh-CN"/>
              </w:rPr>
              <w:t>50</w:t>
            </w:r>
          </w:p>
        </w:tc>
        <w:tc>
          <w:tcPr>
            <w:tcW w:w="569" w:type="dxa"/>
            <w:gridSpan w:val="2"/>
            <w:vAlign w:val="center"/>
          </w:tcPr>
          <w:p>
            <w:pPr>
              <w:widowControl/>
              <w:snapToGrid w:val="0"/>
              <w:jc w:val="center"/>
              <w:textAlignment w:val="baseline"/>
              <w:rPr>
                <w:rFonts w:ascii="仿宋_GB2312" w:hAnsi="宋体" w:eastAsia="仿宋_GB2312"/>
                <w:kern w:val="0"/>
                <w:sz w:val="32"/>
                <w:szCs w:val="32"/>
              </w:rPr>
            </w:pPr>
          </w:p>
        </w:tc>
        <w:tc>
          <w:tcPr>
            <w:tcW w:w="536" w:type="dxa"/>
            <w:vAlign w:val="center"/>
          </w:tcPr>
          <w:p>
            <w:pPr>
              <w:widowControl/>
              <w:snapToGrid w:val="0"/>
              <w:jc w:val="center"/>
              <w:textAlignment w:val="baseline"/>
              <w:rPr>
                <w:rFonts w:ascii="仿宋_GB2312" w:hAnsi="宋体" w:eastAsia="仿宋_GB2312"/>
                <w:kern w:val="0"/>
                <w:sz w:val="32"/>
                <w:szCs w:val="32"/>
              </w:rPr>
            </w:pPr>
            <w:r>
              <w:rPr>
                <w:rFonts w:hint="eastAsia" w:ascii="仿宋_GB2312" w:hAnsi="宋体" w:eastAsia="仿宋_GB2312"/>
                <w:kern w:val="0"/>
                <w:sz w:val="18"/>
                <w:szCs w:val="18"/>
                <w:lang w:val="en-US" w:eastAsia="zh-CN"/>
              </w:rPr>
              <w:t>50</w:t>
            </w: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578" w:type="dxa"/>
            <w:gridSpan w:val="2"/>
            <w:vAlign w:val="center"/>
          </w:tcPr>
          <w:p>
            <w:pPr>
              <w:widowControl/>
              <w:snapToGrid w:val="0"/>
              <w:jc w:val="center"/>
              <w:textAlignment w:val="baseline"/>
              <w:rPr>
                <w:rFonts w:ascii="仿宋_GB2312" w:hAnsi="宋体" w:eastAsia="仿宋_GB2312"/>
                <w:kern w:val="0"/>
                <w:sz w:val="32"/>
                <w:szCs w:val="32"/>
              </w:rPr>
            </w:pPr>
          </w:p>
        </w:tc>
        <w:tc>
          <w:tcPr>
            <w:tcW w:w="419" w:type="dxa"/>
            <w:vAlign w:val="center"/>
          </w:tcPr>
          <w:p>
            <w:pPr>
              <w:widowControl/>
              <w:snapToGrid w:val="0"/>
              <w:jc w:val="center"/>
              <w:textAlignment w:val="baseline"/>
              <w:rPr>
                <w:rFonts w:ascii="仿宋_GB2312" w:hAnsi="宋体" w:eastAsia="仿宋_GB2312"/>
                <w:kern w:val="0"/>
                <w:sz w:val="32"/>
                <w:szCs w:val="32"/>
              </w:rPr>
            </w:pPr>
          </w:p>
        </w:tc>
        <w:tc>
          <w:tcPr>
            <w:tcW w:w="578"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68" w:type="dxa"/>
            <w:gridSpan w:val="2"/>
            <w:vAlign w:val="center"/>
          </w:tcPr>
          <w:p>
            <w:pPr>
              <w:widowControl/>
              <w:snapToGrid w:val="0"/>
              <w:jc w:val="center"/>
              <w:textAlignment w:val="baseline"/>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9" w:type="dxa"/>
            <w:gridSpan w:val="2"/>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213</w:t>
            </w:r>
          </w:p>
        </w:tc>
        <w:tc>
          <w:tcPr>
            <w:tcW w:w="464"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03</w:t>
            </w:r>
          </w:p>
        </w:tc>
        <w:tc>
          <w:tcPr>
            <w:tcW w:w="422"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33</w:t>
            </w:r>
          </w:p>
        </w:tc>
        <w:tc>
          <w:tcPr>
            <w:tcW w:w="955"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信息管理</w:t>
            </w:r>
          </w:p>
        </w:tc>
        <w:tc>
          <w:tcPr>
            <w:tcW w:w="1309" w:type="dxa"/>
            <w:vAlign w:val="center"/>
          </w:tcPr>
          <w:p>
            <w:pPr>
              <w:widowControl/>
              <w:snapToGrid w:val="0"/>
              <w:jc w:val="center"/>
              <w:textAlignment w:val="baseline"/>
              <w:rPr>
                <w:rFonts w:ascii="仿宋_GB2312" w:hAnsi="宋体" w:eastAsia="仿宋_GB2312"/>
                <w:kern w:val="0"/>
                <w:sz w:val="32"/>
                <w:szCs w:val="32"/>
              </w:rPr>
            </w:pPr>
            <w:r>
              <w:rPr>
                <w:rFonts w:hint="eastAsia" w:ascii="仿宋_GB2312" w:hAnsi="宋体" w:eastAsia="仿宋_GB2312"/>
                <w:kern w:val="0"/>
                <w:sz w:val="18"/>
                <w:szCs w:val="18"/>
                <w:lang w:eastAsia="zh-CN"/>
              </w:rPr>
              <w:t>网络安全保护</w:t>
            </w:r>
          </w:p>
        </w:tc>
        <w:tc>
          <w:tcPr>
            <w:tcW w:w="599" w:type="dxa"/>
            <w:vAlign w:val="center"/>
          </w:tcPr>
          <w:p>
            <w:pPr>
              <w:widowControl/>
              <w:snapToGrid w:val="0"/>
              <w:jc w:val="center"/>
              <w:textAlignment w:val="baseline"/>
              <w:rPr>
                <w:rFonts w:ascii="仿宋_GB2312" w:hAnsi="宋体" w:eastAsia="仿宋_GB2312"/>
                <w:kern w:val="0"/>
                <w:sz w:val="32"/>
                <w:szCs w:val="32"/>
              </w:rPr>
            </w:pPr>
            <w:r>
              <w:rPr>
                <w:rFonts w:hint="eastAsia" w:ascii="仿宋_GB2312" w:hAnsi="宋体" w:eastAsia="仿宋_GB2312"/>
                <w:kern w:val="0"/>
                <w:sz w:val="18"/>
                <w:szCs w:val="18"/>
                <w:lang w:val="en-US" w:eastAsia="zh-CN"/>
              </w:rPr>
              <w:t>22</w:t>
            </w:r>
          </w:p>
        </w:tc>
        <w:tc>
          <w:tcPr>
            <w:tcW w:w="569" w:type="dxa"/>
            <w:gridSpan w:val="2"/>
            <w:vAlign w:val="center"/>
          </w:tcPr>
          <w:p>
            <w:pPr>
              <w:widowControl/>
              <w:snapToGrid w:val="0"/>
              <w:jc w:val="center"/>
              <w:textAlignment w:val="baseline"/>
              <w:rPr>
                <w:rFonts w:ascii="仿宋_GB2312" w:hAnsi="宋体" w:eastAsia="仿宋_GB2312"/>
                <w:kern w:val="0"/>
                <w:sz w:val="32"/>
                <w:szCs w:val="32"/>
              </w:rPr>
            </w:pPr>
          </w:p>
        </w:tc>
        <w:tc>
          <w:tcPr>
            <w:tcW w:w="536" w:type="dxa"/>
            <w:vAlign w:val="center"/>
          </w:tcPr>
          <w:p>
            <w:pPr>
              <w:widowControl/>
              <w:snapToGrid w:val="0"/>
              <w:jc w:val="center"/>
              <w:textAlignment w:val="baseline"/>
              <w:rPr>
                <w:rFonts w:ascii="仿宋_GB2312" w:hAnsi="宋体" w:eastAsia="仿宋_GB2312"/>
                <w:kern w:val="0"/>
                <w:sz w:val="32"/>
                <w:szCs w:val="32"/>
              </w:rPr>
            </w:pPr>
            <w:r>
              <w:rPr>
                <w:rFonts w:hint="eastAsia" w:ascii="仿宋_GB2312" w:hAnsi="宋体" w:eastAsia="仿宋_GB2312"/>
                <w:kern w:val="0"/>
                <w:sz w:val="18"/>
                <w:szCs w:val="18"/>
                <w:lang w:val="en-US" w:eastAsia="zh-CN"/>
              </w:rPr>
              <w:t>22</w:t>
            </w: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578" w:type="dxa"/>
            <w:gridSpan w:val="2"/>
            <w:vAlign w:val="center"/>
          </w:tcPr>
          <w:p>
            <w:pPr>
              <w:widowControl/>
              <w:snapToGrid w:val="0"/>
              <w:jc w:val="center"/>
              <w:textAlignment w:val="baseline"/>
              <w:rPr>
                <w:rFonts w:ascii="仿宋_GB2312" w:hAnsi="宋体" w:eastAsia="仿宋_GB2312"/>
                <w:kern w:val="0"/>
                <w:sz w:val="32"/>
                <w:szCs w:val="32"/>
              </w:rPr>
            </w:pPr>
          </w:p>
        </w:tc>
        <w:tc>
          <w:tcPr>
            <w:tcW w:w="419" w:type="dxa"/>
            <w:vAlign w:val="center"/>
          </w:tcPr>
          <w:p>
            <w:pPr>
              <w:widowControl/>
              <w:snapToGrid w:val="0"/>
              <w:jc w:val="center"/>
              <w:textAlignment w:val="baseline"/>
              <w:rPr>
                <w:rFonts w:ascii="仿宋_GB2312" w:hAnsi="宋体" w:eastAsia="仿宋_GB2312"/>
                <w:kern w:val="0"/>
                <w:sz w:val="32"/>
                <w:szCs w:val="32"/>
              </w:rPr>
            </w:pPr>
          </w:p>
        </w:tc>
        <w:tc>
          <w:tcPr>
            <w:tcW w:w="578"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68" w:type="dxa"/>
            <w:gridSpan w:val="2"/>
            <w:vAlign w:val="center"/>
          </w:tcPr>
          <w:p>
            <w:pPr>
              <w:widowControl/>
              <w:snapToGrid w:val="0"/>
              <w:jc w:val="center"/>
              <w:textAlignment w:val="baseline"/>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9" w:type="dxa"/>
            <w:gridSpan w:val="2"/>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213</w:t>
            </w:r>
          </w:p>
        </w:tc>
        <w:tc>
          <w:tcPr>
            <w:tcW w:w="464"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03</w:t>
            </w:r>
          </w:p>
        </w:tc>
        <w:tc>
          <w:tcPr>
            <w:tcW w:w="422"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rPr>
              <w:t>99</w:t>
            </w:r>
          </w:p>
        </w:tc>
        <w:tc>
          <w:tcPr>
            <w:tcW w:w="955" w:type="dxa"/>
            <w:vAlign w:val="center"/>
          </w:tcPr>
          <w:p>
            <w:pPr>
              <w:snapToGrid w:val="0"/>
              <w:jc w:val="center"/>
              <w:textAlignment w:val="baseline"/>
              <w:rPr>
                <w:rFonts w:ascii="仿宋_GB2312" w:hAnsi="宋体" w:eastAsia="仿宋_GB2312"/>
                <w:kern w:val="0"/>
                <w:sz w:val="32"/>
                <w:szCs w:val="32"/>
              </w:rPr>
            </w:pPr>
            <w:r>
              <w:rPr>
                <w:rFonts w:hint="eastAsia" w:ascii="仿宋_GB2312" w:hAnsi="宋体" w:eastAsia="仿宋_GB2312" w:cs="宋体"/>
                <w:color w:val="000000"/>
                <w:sz w:val="18"/>
                <w:szCs w:val="18"/>
                <w:lang w:eastAsia="zh-CN"/>
              </w:rPr>
              <w:t>其他水利支出</w:t>
            </w:r>
          </w:p>
        </w:tc>
        <w:tc>
          <w:tcPr>
            <w:tcW w:w="1309" w:type="dxa"/>
            <w:vAlign w:val="center"/>
          </w:tcPr>
          <w:p>
            <w:pPr>
              <w:widowControl/>
              <w:snapToGrid w:val="0"/>
              <w:jc w:val="center"/>
              <w:textAlignment w:val="baseline"/>
              <w:rPr>
                <w:rFonts w:ascii="仿宋_GB2312" w:hAnsi="宋体" w:eastAsia="仿宋_GB2312"/>
                <w:kern w:val="0"/>
                <w:sz w:val="32"/>
                <w:szCs w:val="32"/>
              </w:rPr>
            </w:pPr>
            <w:r>
              <w:rPr>
                <w:rFonts w:hint="eastAsia" w:ascii="仿宋_GB2312" w:hAnsi="宋体" w:eastAsia="仿宋_GB2312"/>
                <w:kern w:val="0"/>
                <w:sz w:val="18"/>
                <w:szCs w:val="18"/>
                <w:lang w:eastAsia="zh-CN"/>
              </w:rPr>
              <w:t>落实昌吉州用水总量控制方案经费</w:t>
            </w:r>
          </w:p>
        </w:tc>
        <w:tc>
          <w:tcPr>
            <w:tcW w:w="599" w:type="dxa"/>
            <w:vAlign w:val="center"/>
          </w:tcPr>
          <w:p>
            <w:pPr>
              <w:widowControl/>
              <w:snapToGrid w:val="0"/>
              <w:jc w:val="center"/>
              <w:textAlignment w:val="baseline"/>
              <w:rPr>
                <w:rFonts w:ascii="仿宋_GB2312" w:hAnsi="宋体" w:eastAsia="仿宋_GB2312"/>
                <w:kern w:val="0"/>
                <w:sz w:val="32"/>
                <w:szCs w:val="32"/>
              </w:rPr>
            </w:pPr>
            <w:r>
              <w:rPr>
                <w:rFonts w:hint="eastAsia" w:ascii="仿宋_GB2312" w:hAnsi="宋体" w:eastAsia="仿宋_GB2312"/>
                <w:kern w:val="0"/>
                <w:sz w:val="18"/>
                <w:szCs w:val="18"/>
                <w:lang w:val="en-US" w:eastAsia="zh-CN"/>
              </w:rPr>
              <w:t>10</w:t>
            </w:r>
          </w:p>
        </w:tc>
        <w:tc>
          <w:tcPr>
            <w:tcW w:w="569" w:type="dxa"/>
            <w:gridSpan w:val="2"/>
            <w:vAlign w:val="center"/>
          </w:tcPr>
          <w:p>
            <w:pPr>
              <w:widowControl/>
              <w:snapToGrid w:val="0"/>
              <w:jc w:val="center"/>
              <w:textAlignment w:val="baseline"/>
              <w:rPr>
                <w:rFonts w:ascii="仿宋_GB2312" w:hAnsi="宋体" w:eastAsia="仿宋_GB2312"/>
                <w:kern w:val="0"/>
                <w:sz w:val="32"/>
                <w:szCs w:val="32"/>
              </w:rPr>
            </w:pPr>
          </w:p>
        </w:tc>
        <w:tc>
          <w:tcPr>
            <w:tcW w:w="536" w:type="dxa"/>
            <w:vAlign w:val="center"/>
          </w:tcPr>
          <w:p>
            <w:pPr>
              <w:widowControl/>
              <w:snapToGrid w:val="0"/>
              <w:jc w:val="center"/>
              <w:textAlignment w:val="baseline"/>
              <w:rPr>
                <w:rFonts w:ascii="仿宋_GB2312" w:hAnsi="宋体" w:eastAsia="仿宋_GB2312"/>
                <w:kern w:val="0"/>
                <w:sz w:val="32"/>
                <w:szCs w:val="32"/>
              </w:rPr>
            </w:pPr>
            <w:r>
              <w:rPr>
                <w:rFonts w:hint="eastAsia" w:ascii="仿宋_GB2312" w:hAnsi="宋体" w:eastAsia="仿宋_GB2312"/>
                <w:kern w:val="0"/>
                <w:sz w:val="18"/>
                <w:szCs w:val="18"/>
                <w:lang w:val="en-US" w:eastAsia="zh-CN"/>
              </w:rPr>
              <w:t>10</w:t>
            </w: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578" w:type="dxa"/>
            <w:gridSpan w:val="2"/>
            <w:vAlign w:val="center"/>
          </w:tcPr>
          <w:p>
            <w:pPr>
              <w:widowControl/>
              <w:snapToGrid w:val="0"/>
              <w:jc w:val="center"/>
              <w:textAlignment w:val="baseline"/>
              <w:rPr>
                <w:rFonts w:ascii="仿宋_GB2312" w:hAnsi="宋体" w:eastAsia="仿宋_GB2312"/>
                <w:kern w:val="0"/>
                <w:sz w:val="32"/>
                <w:szCs w:val="32"/>
              </w:rPr>
            </w:pPr>
          </w:p>
        </w:tc>
        <w:tc>
          <w:tcPr>
            <w:tcW w:w="419" w:type="dxa"/>
            <w:vAlign w:val="center"/>
          </w:tcPr>
          <w:p>
            <w:pPr>
              <w:widowControl/>
              <w:snapToGrid w:val="0"/>
              <w:jc w:val="center"/>
              <w:textAlignment w:val="baseline"/>
              <w:rPr>
                <w:rFonts w:ascii="仿宋_GB2312" w:hAnsi="宋体" w:eastAsia="仿宋_GB2312"/>
                <w:kern w:val="0"/>
                <w:sz w:val="32"/>
                <w:szCs w:val="32"/>
              </w:rPr>
            </w:pPr>
          </w:p>
        </w:tc>
        <w:tc>
          <w:tcPr>
            <w:tcW w:w="578"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68" w:type="dxa"/>
            <w:gridSpan w:val="2"/>
            <w:vAlign w:val="center"/>
          </w:tcPr>
          <w:p>
            <w:pPr>
              <w:widowControl/>
              <w:snapToGrid w:val="0"/>
              <w:jc w:val="center"/>
              <w:textAlignment w:val="baseline"/>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9" w:type="dxa"/>
            <w:gridSpan w:val="2"/>
            <w:vAlign w:val="center"/>
          </w:tcPr>
          <w:p>
            <w:pPr>
              <w:widowControl/>
              <w:snapToGrid w:val="0"/>
              <w:jc w:val="center"/>
              <w:textAlignment w:val="baseline"/>
              <w:rPr>
                <w:rFonts w:ascii="仿宋_GB2312" w:hAnsi="宋体" w:eastAsia="仿宋_GB2312"/>
                <w:kern w:val="0"/>
                <w:sz w:val="32"/>
                <w:szCs w:val="32"/>
              </w:rPr>
            </w:pPr>
          </w:p>
        </w:tc>
        <w:tc>
          <w:tcPr>
            <w:tcW w:w="464" w:type="dxa"/>
            <w:vAlign w:val="center"/>
          </w:tcPr>
          <w:p>
            <w:pPr>
              <w:widowControl/>
              <w:snapToGrid w:val="0"/>
              <w:jc w:val="center"/>
              <w:textAlignment w:val="baseline"/>
              <w:rPr>
                <w:rFonts w:ascii="仿宋_GB2312" w:hAnsi="宋体" w:eastAsia="仿宋_GB2312"/>
                <w:kern w:val="0"/>
                <w:sz w:val="32"/>
                <w:szCs w:val="32"/>
              </w:rPr>
            </w:pPr>
          </w:p>
        </w:tc>
        <w:tc>
          <w:tcPr>
            <w:tcW w:w="422" w:type="dxa"/>
            <w:vAlign w:val="center"/>
          </w:tcPr>
          <w:p>
            <w:pPr>
              <w:widowControl/>
              <w:snapToGrid w:val="0"/>
              <w:jc w:val="center"/>
              <w:textAlignment w:val="baseline"/>
              <w:rPr>
                <w:rFonts w:ascii="仿宋_GB2312" w:hAnsi="宋体" w:eastAsia="仿宋_GB2312"/>
                <w:kern w:val="0"/>
                <w:sz w:val="32"/>
                <w:szCs w:val="32"/>
              </w:rPr>
            </w:pPr>
          </w:p>
        </w:tc>
        <w:tc>
          <w:tcPr>
            <w:tcW w:w="955" w:type="dxa"/>
            <w:vAlign w:val="center"/>
          </w:tcPr>
          <w:p>
            <w:pPr>
              <w:widowControl/>
              <w:snapToGrid w:val="0"/>
              <w:jc w:val="center"/>
              <w:textAlignment w:val="baseline"/>
              <w:rPr>
                <w:rFonts w:ascii="仿宋_GB2312" w:hAnsi="宋体" w:eastAsia="仿宋_GB2312"/>
                <w:kern w:val="0"/>
                <w:sz w:val="32"/>
                <w:szCs w:val="32"/>
              </w:rPr>
            </w:pPr>
          </w:p>
        </w:tc>
        <w:tc>
          <w:tcPr>
            <w:tcW w:w="1309" w:type="dxa"/>
            <w:vAlign w:val="center"/>
          </w:tcPr>
          <w:p>
            <w:pPr>
              <w:widowControl/>
              <w:snapToGrid w:val="0"/>
              <w:jc w:val="center"/>
              <w:textAlignment w:val="baseline"/>
              <w:rPr>
                <w:rFonts w:ascii="仿宋_GB2312" w:hAnsi="宋体" w:eastAsia="仿宋_GB2312"/>
                <w:kern w:val="0"/>
                <w:sz w:val="32"/>
                <w:szCs w:val="32"/>
              </w:rPr>
            </w:pPr>
            <w:r>
              <w:rPr>
                <w:rFonts w:hint="eastAsia" w:ascii="仿宋_GB2312" w:hAnsi="宋体" w:eastAsia="仿宋_GB2312"/>
                <w:b/>
                <w:bCs/>
                <w:kern w:val="0"/>
                <w:sz w:val="18"/>
                <w:szCs w:val="18"/>
              </w:rPr>
              <w:t>合 计</w:t>
            </w:r>
          </w:p>
        </w:tc>
        <w:tc>
          <w:tcPr>
            <w:tcW w:w="599" w:type="dxa"/>
            <w:vAlign w:val="center"/>
          </w:tcPr>
          <w:p>
            <w:pPr>
              <w:widowControl/>
              <w:snapToGrid w:val="0"/>
              <w:jc w:val="center"/>
              <w:textAlignment w:val="baseline"/>
              <w:rPr>
                <w:rFonts w:ascii="仿宋_GB2312" w:hAnsi="宋体" w:eastAsia="仿宋_GB2312"/>
                <w:kern w:val="0"/>
                <w:sz w:val="32"/>
                <w:szCs w:val="32"/>
              </w:rPr>
            </w:pPr>
            <w:r>
              <w:rPr>
                <w:rFonts w:hint="eastAsia" w:ascii="仿宋_GB2312" w:hAnsi="宋体" w:eastAsia="仿宋_GB2312"/>
                <w:kern w:val="0"/>
                <w:sz w:val="18"/>
                <w:szCs w:val="18"/>
                <w:lang w:val="en-US" w:eastAsia="zh-CN"/>
              </w:rPr>
              <w:t>122</w:t>
            </w:r>
          </w:p>
        </w:tc>
        <w:tc>
          <w:tcPr>
            <w:tcW w:w="569" w:type="dxa"/>
            <w:gridSpan w:val="2"/>
            <w:vAlign w:val="center"/>
          </w:tcPr>
          <w:p>
            <w:pPr>
              <w:widowControl/>
              <w:snapToGrid w:val="0"/>
              <w:jc w:val="center"/>
              <w:textAlignment w:val="baseline"/>
              <w:rPr>
                <w:rFonts w:ascii="仿宋_GB2312" w:hAnsi="宋体" w:eastAsia="仿宋_GB2312"/>
                <w:kern w:val="0"/>
                <w:sz w:val="32"/>
                <w:szCs w:val="32"/>
              </w:rPr>
            </w:pPr>
          </w:p>
        </w:tc>
        <w:tc>
          <w:tcPr>
            <w:tcW w:w="536" w:type="dxa"/>
            <w:vAlign w:val="center"/>
          </w:tcPr>
          <w:p>
            <w:pPr>
              <w:widowControl/>
              <w:snapToGrid w:val="0"/>
              <w:jc w:val="center"/>
              <w:textAlignment w:val="baseline"/>
              <w:rPr>
                <w:rFonts w:ascii="仿宋_GB2312" w:hAnsi="宋体" w:eastAsia="仿宋_GB2312"/>
                <w:kern w:val="0"/>
                <w:sz w:val="32"/>
                <w:szCs w:val="32"/>
              </w:rPr>
            </w:pPr>
            <w:r>
              <w:rPr>
                <w:rFonts w:hint="eastAsia" w:ascii="仿宋_GB2312" w:hAnsi="宋体" w:eastAsia="仿宋_GB2312"/>
                <w:kern w:val="0"/>
                <w:sz w:val="18"/>
                <w:szCs w:val="18"/>
                <w:lang w:val="en-US" w:eastAsia="zh-CN"/>
              </w:rPr>
              <w:t>122</w:t>
            </w: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652" w:type="dxa"/>
            <w:vAlign w:val="center"/>
          </w:tcPr>
          <w:p>
            <w:pPr>
              <w:widowControl/>
              <w:snapToGrid w:val="0"/>
              <w:jc w:val="center"/>
              <w:textAlignment w:val="baseline"/>
              <w:rPr>
                <w:rFonts w:ascii="仿宋_GB2312" w:hAnsi="宋体" w:eastAsia="仿宋_GB2312"/>
                <w:kern w:val="0"/>
                <w:sz w:val="32"/>
                <w:szCs w:val="32"/>
              </w:rPr>
            </w:pPr>
          </w:p>
        </w:tc>
        <w:tc>
          <w:tcPr>
            <w:tcW w:w="578" w:type="dxa"/>
            <w:gridSpan w:val="2"/>
            <w:vAlign w:val="center"/>
          </w:tcPr>
          <w:p>
            <w:pPr>
              <w:widowControl/>
              <w:snapToGrid w:val="0"/>
              <w:jc w:val="center"/>
              <w:textAlignment w:val="baseline"/>
              <w:rPr>
                <w:rFonts w:ascii="仿宋_GB2312" w:hAnsi="宋体" w:eastAsia="仿宋_GB2312"/>
                <w:kern w:val="0"/>
                <w:sz w:val="32"/>
                <w:szCs w:val="32"/>
              </w:rPr>
            </w:pPr>
          </w:p>
        </w:tc>
        <w:tc>
          <w:tcPr>
            <w:tcW w:w="419" w:type="dxa"/>
            <w:vAlign w:val="center"/>
          </w:tcPr>
          <w:p>
            <w:pPr>
              <w:widowControl/>
              <w:snapToGrid w:val="0"/>
              <w:jc w:val="center"/>
              <w:textAlignment w:val="baseline"/>
              <w:rPr>
                <w:rFonts w:ascii="仿宋_GB2312" w:hAnsi="宋体" w:eastAsia="仿宋_GB2312"/>
                <w:kern w:val="0"/>
                <w:sz w:val="32"/>
                <w:szCs w:val="32"/>
              </w:rPr>
            </w:pPr>
          </w:p>
        </w:tc>
        <w:tc>
          <w:tcPr>
            <w:tcW w:w="578"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20" w:type="dxa"/>
            <w:vAlign w:val="center"/>
          </w:tcPr>
          <w:p>
            <w:pPr>
              <w:widowControl/>
              <w:snapToGrid w:val="0"/>
              <w:jc w:val="center"/>
              <w:textAlignment w:val="baseline"/>
              <w:rPr>
                <w:rFonts w:ascii="仿宋_GB2312" w:hAnsi="宋体" w:eastAsia="仿宋_GB2312"/>
                <w:kern w:val="0"/>
                <w:sz w:val="32"/>
                <w:szCs w:val="32"/>
              </w:rPr>
            </w:pPr>
          </w:p>
        </w:tc>
        <w:tc>
          <w:tcPr>
            <w:tcW w:w="468" w:type="dxa"/>
            <w:gridSpan w:val="2"/>
            <w:vAlign w:val="center"/>
          </w:tcPr>
          <w:p>
            <w:pPr>
              <w:widowControl/>
              <w:snapToGrid w:val="0"/>
              <w:jc w:val="center"/>
              <w:textAlignment w:val="baseline"/>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昌吉州水利局</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4"/>
              </w:rPr>
            </w:pPr>
            <w:r>
              <w:rPr>
                <w:rFonts w:hint="eastAsia" w:ascii="仿宋_GB2312" w:hAnsi="宋体" w:eastAsia="仿宋_GB2312" w:cs="宋体"/>
                <w:color w:val="000000"/>
                <w:kern w:val="0"/>
                <w:sz w:val="18"/>
                <w:szCs w:val="18"/>
                <w:lang w:val="en-US" w:eastAsia="zh-CN"/>
              </w:rPr>
              <w:t>11.35</w:t>
            </w:r>
          </w:p>
        </w:tc>
        <w:tc>
          <w:tcPr>
            <w:tcW w:w="1417"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4"/>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4"/>
              </w:rPr>
            </w:pPr>
            <w:r>
              <w:rPr>
                <w:rFonts w:hint="eastAsia" w:ascii="仿宋_GB2312" w:hAnsi="宋体" w:eastAsia="仿宋_GB2312" w:cs="宋体"/>
                <w:color w:val="000000"/>
                <w:kern w:val="0"/>
                <w:sz w:val="18"/>
                <w:szCs w:val="18"/>
              </w:rPr>
              <w:t>10</w:t>
            </w:r>
          </w:p>
        </w:tc>
        <w:tc>
          <w:tcPr>
            <w:tcW w:w="1418"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4"/>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4"/>
              </w:rPr>
            </w:pPr>
            <w:r>
              <w:rPr>
                <w:rFonts w:hint="eastAsia" w:ascii="仿宋_GB2312" w:hAnsi="宋体" w:eastAsia="仿宋_GB2312" w:cs="宋体"/>
                <w:color w:val="000000"/>
                <w:kern w:val="0"/>
                <w:sz w:val="18"/>
                <w:szCs w:val="18"/>
              </w:rPr>
              <w:t>10</w:t>
            </w:r>
          </w:p>
        </w:tc>
        <w:tc>
          <w:tcPr>
            <w:tcW w:w="1712" w:type="dxa"/>
            <w:tcBorders>
              <w:top w:val="nil"/>
              <w:left w:val="nil"/>
              <w:bottom w:val="single" w:color="auto" w:sz="4" w:space="0"/>
              <w:right w:val="single" w:color="auto" w:sz="4" w:space="0"/>
            </w:tcBorders>
            <w:vAlign w:val="center"/>
          </w:tcPr>
          <w:p>
            <w:pPr>
              <w:widowControl/>
              <w:snapToGrid w:val="0"/>
              <w:jc w:val="center"/>
              <w:textAlignment w:val="baseline"/>
              <w:rPr>
                <w:rFonts w:ascii="宋体" w:hAnsi="宋体" w:cs="宋体"/>
                <w:color w:val="000000"/>
                <w:kern w:val="0"/>
                <w:sz w:val="24"/>
              </w:rPr>
            </w:pPr>
            <w:r>
              <w:rPr>
                <w:rFonts w:hint="eastAsia" w:ascii="仿宋_GB2312" w:hAnsi="宋体" w:eastAsia="仿宋_GB2312" w:cs="宋体"/>
                <w:color w:val="000000"/>
                <w:kern w:val="0"/>
                <w:sz w:val="18"/>
                <w:szCs w:val="18"/>
                <w:lang w:val="en-US" w:eastAsia="zh-CN"/>
              </w:rPr>
              <w:t>1.35</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hint="eastAsia" w:ascii="仿宋_GB2312" w:hAnsi="宋体" w:eastAsia="仿宋_GB2312"/>
          <w:kern w:val="0"/>
          <w:sz w:val="24"/>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昌吉州水利局</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napToGrid w:val="0"/>
        <w:spacing w:line="560" w:lineRule="exact"/>
        <w:jc w:val="center"/>
        <w:textAlignment w:val="baseline"/>
        <w:rPr>
          <w:rFonts w:ascii="黑体" w:hAnsi="黑体" w:eastAsia="黑体"/>
          <w:kern w:val="0"/>
          <w:sz w:val="32"/>
          <w:szCs w:val="32"/>
        </w:rPr>
      </w:pPr>
      <w:r>
        <w:rPr>
          <w:rFonts w:hint="eastAsia" w:ascii="黑体" w:hAnsi="黑体" w:eastAsia="黑体"/>
          <w:kern w:val="0"/>
          <w:sz w:val="32"/>
          <w:szCs w:val="32"/>
        </w:rPr>
        <w:t>第三部分  202</w:t>
      </w:r>
      <w:r>
        <w:rPr>
          <w:rFonts w:hint="eastAsia" w:ascii="黑体" w:hAnsi="黑体" w:eastAsia="黑体"/>
          <w:kern w:val="0"/>
          <w:sz w:val="32"/>
          <w:szCs w:val="32"/>
          <w:lang w:val="en-US" w:eastAsia="zh-CN"/>
        </w:rPr>
        <w:t>2</w:t>
      </w:r>
      <w:r>
        <w:rPr>
          <w:rFonts w:hint="eastAsia" w:ascii="黑体" w:hAnsi="黑体" w:eastAsia="黑体"/>
          <w:kern w:val="0"/>
          <w:sz w:val="32"/>
          <w:szCs w:val="32"/>
        </w:rPr>
        <w:t>年昌吉州水利局预算情况说明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昌吉州水利局</w:t>
      </w:r>
      <w:r>
        <w:rPr>
          <w:rFonts w:hint="eastAsia" w:ascii="楷体_GB2312" w:hAnsi="楷体_GB2312" w:eastAsia="楷体_GB2312" w:cs="楷体_GB2312"/>
          <w:b/>
          <w:kern w:val="0"/>
          <w:sz w:val="32"/>
          <w:szCs w:val="32"/>
        </w:rPr>
        <w:t>2022年收支预算情况的总体说明</w:t>
      </w:r>
    </w:p>
    <w:p>
      <w:pPr>
        <w:snapToGrid w:val="0"/>
        <w:spacing w:line="560" w:lineRule="exact"/>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按照全口径预算的原则，吉州水利局202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1002.69</w:t>
      </w:r>
      <w:r>
        <w:rPr>
          <w:rFonts w:hint="eastAsia" w:ascii="仿宋_GB2312" w:hAnsi="宋体" w:eastAsia="仿宋_GB2312" w:cs="宋体"/>
          <w:kern w:val="0"/>
          <w:sz w:val="32"/>
          <w:szCs w:val="32"/>
        </w:rPr>
        <w:t>万元。</w:t>
      </w:r>
    </w:p>
    <w:p>
      <w:pPr>
        <w:snapToGrid w:val="0"/>
        <w:spacing w:line="560" w:lineRule="exact"/>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eastAsia="zh-CN"/>
        </w:rPr>
        <w:t>住房保障支出</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昌吉州水利局</w:t>
      </w:r>
      <w:r>
        <w:rPr>
          <w:rFonts w:hint="eastAsia" w:ascii="楷体_GB2312" w:hAnsi="楷体_GB2312" w:eastAsia="楷体_GB2312" w:cs="楷体_GB2312"/>
          <w:b/>
          <w:bCs/>
          <w:kern w:val="0"/>
          <w:sz w:val="32"/>
          <w:szCs w:val="32"/>
        </w:rPr>
        <w:t>2022年收入预算情况说明</w:t>
      </w:r>
    </w:p>
    <w:p>
      <w:pPr>
        <w:snapToGrid w:val="0"/>
        <w:spacing w:line="560" w:lineRule="exact"/>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昌吉州水利局收入预算</w:t>
      </w:r>
      <w:r>
        <w:rPr>
          <w:rFonts w:hint="eastAsia" w:ascii="仿宋_GB2312" w:hAnsi="宋体" w:eastAsia="仿宋_GB2312" w:cs="宋体"/>
          <w:kern w:val="0"/>
          <w:sz w:val="32"/>
          <w:szCs w:val="32"/>
          <w:lang w:val="en-US" w:eastAsia="zh-CN"/>
        </w:rPr>
        <w:t>1002.69</w:t>
      </w:r>
      <w:r>
        <w:rPr>
          <w:rFonts w:hint="eastAsia" w:ascii="仿宋_GB2312" w:hAnsi="宋体" w:eastAsia="仿宋_GB2312" w:cs="宋体"/>
          <w:kern w:val="0"/>
          <w:sz w:val="32"/>
          <w:szCs w:val="32"/>
        </w:rPr>
        <w:t>万元，其中：</w:t>
      </w:r>
    </w:p>
    <w:p>
      <w:pPr>
        <w:snapToGrid w:val="0"/>
        <w:spacing w:line="560" w:lineRule="exact"/>
        <w:ind w:firstLine="640" w:firstLineChars="200"/>
        <w:textAlignment w:val="baseline"/>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1002.69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94.76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10.44%，</w:t>
      </w:r>
      <w:r>
        <w:rPr>
          <w:rFonts w:hint="eastAsia" w:ascii="仿宋_GB2312" w:hAnsi="宋体" w:eastAsia="仿宋_GB2312" w:cs="宋体"/>
          <w:kern w:val="0"/>
          <w:sz w:val="32"/>
          <w:szCs w:val="32"/>
        </w:rPr>
        <w:t>主要原因是人员较上年增加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项目支出预算增加。</w:t>
      </w:r>
    </w:p>
    <w:p>
      <w:pPr>
        <w:snapToGrid w:val="0"/>
        <w:spacing w:line="560" w:lineRule="exact"/>
        <w:ind w:firstLine="640" w:firstLineChars="200"/>
        <w:textAlignment w:val="baseline"/>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昌吉州水利局</w:t>
      </w:r>
      <w:r>
        <w:rPr>
          <w:rFonts w:hint="eastAsia" w:ascii="楷体_GB2312" w:hAnsi="楷体_GB2312" w:eastAsia="楷体_GB2312" w:cs="楷体_GB2312"/>
          <w:b/>
          <w:bCs/>
          <w:kern w:val="0"/>
          <w:sz w:val="32"/>
          <w:szCs w:val="32"/>
        </w:rPr>
        <w:t>2022年支出预算情况说明</w:t>
      </w:r>
    </w:p>
    <w:p>
      <w:pPr>
        <w:snapToGrid w:val="0"/>
        <w:spacing w:line="560" w:lineRule="exact"/>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昌吉州水利局202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1002.69</w:t>
      </w:r>
      <w:r>
        <w:rPr>
          <w:rFonts w:hint="eastAsia" w:ascii="仿宋_GB2312" w:hAnsi="宋体" w:eastAsia="仿宋_GB2312" w:cs="宋体"/>
          <w:kern w:val="0"/>
          <w:sz w:val="32"/>
          <w:szCs w:val="32"/>
        </w:rPr>
        <w:t>万元，其中：</w:t>
      </w:r>
    </w:p>
    <w:p>
      <w:pPr>
        <w:snapToGrid w:val="0"/>
        <w:spacing w:line="560" w:lineRule="exact"/>
        <w:ind w:firstLine="640" w:firstLineChars="200"/>
        <w:textAlignment w:val="baseline"/>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880.69万元，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87.83</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52.76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 xml:space="preserve"> 6.37%，</w:t>
      </w:r>
      <w:r>
        <w:rPr>
          <w:rFonts w:hint="eastAsia" w:ascii="仿宋_GB2312" w:hAnsi="宋体" w:eastAsia="仿宋_GB2312" w:cs="宋体"/>
          <w:kern w:val="0"/>
          <w:sz w:val="32"/>
          <w:szCs w:val="32"/>
        </w:rPr>
        <w:t>主要原因是人员较上年增加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w:t>
      </w:r>
    </w:p>
    <w:p>
      <w:pPr>
        <w:snapToGrid w:val="0"/>
        <w:spacing w:line="560" w:lineRule="exact"/>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122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12.17</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42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52.5%,</w:t>
      </w:r>
      <w:r>
        <w:rPr>
          <w:rFonts w:hint="eastAsia" w:ascii="仿宋_GB2312" w:hAnsi="宋体" w:eastAsia="仿宋_GB2312" w:cs="宋体"/>
          <w:kern w:val="0"/>
          <w:sz w:val="32"/>
          <w:szCs w:val="32"/>
        </w:rPr>
        <w:t>主要原因是202</w:t>
      </w:r>
      <w:r>
        <w:rPr>
          <w:rFonts w:hint="eastAsia" w:ascii="仿宋_GB2312" w:hAnsi="宋体" w:eastAsia="仿宋_GB2312" w:cs="宋体"/>
          <w:kern w:val="0"/>
          <w:sz w:val="32"/>
          <w:szCs w:val="32"/>
          <w:lang w:val="en-US" w:eastAsia="zh-CN"/>
        </w:rPr>
        <w:t>2年新增昌吉最严格水资源管理制度考核经费10万元，落实昌吉州用水总量控制方案经费10万元，网络安全保护22万元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昌吉州水利局</w:t>
      </w:r>
      <w:r>
        <w:rPr>
          <w:rFonts w:hint="eastAsia" w:ascii="楷体_GB2312" w:hAnsi="楷体_GB2312" w:eastAsia="楷体_GB2312" w:cs="楷体_GB2312"/>
          <w:b/>
          <w:bCs/>
          <w:kern w:val="0"/>
          <w:sz w:val="32"/>
          <w:szCs w:val="32"/>
        </w:rPr>
        <w:t>2022年财政拨款收支预算情况的总体说明</w:t>
      </w:r>
    </w:p>
    <w:p>
      <w:pPr>
        <w:snapToGrid w:val="0"/>
        <w:spacing w:line="560" w:lineRule="exact"/>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1002.69</w:t>
      </w:r>
      <w:r>
        <w:rPr>
          <w:rFonts w:hint="eastAsia" w:ascii="仿宋_GB2312" w:hAnsi="宋体" w:eastAsia="仿宋_GB2312" w:cs="宋体"/>
          <w:kern w:val="0"/>
          <w:sz w:val="32"/>
          <w:szCs w:val="32"/>
        </w:rPr>
        <w:t>万元。</w:t>
      </w:r>
    </w:p>
    <w:p>
      <w:pPr>
        <w:snapToGrid w:val="0"/>
        <w:spacing w:line="560" w:lineRule="exact"/>
        <w:ind w:firstLine="616" w:firstLineChars="200"/>
        <w:textAlignment w:val="baseline"/>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napToGrid w:val="0"/>
        <w:spacing w:line="560" w:lineRule="exact"/>
        <w:ind w:firstLine="616" w:firstLineChars="200"/>
        <w:textAlignment w:val="baseline"/>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val="en-US" w:eastAsia="zh-CN"/>
        </w:rPr>
        <w:t>1002.69</w:t>
      </w:r>
      <w:r>
        <w:rPr>
          <w:rFonts w:hint="eastAsia" w:ascii="仿宋_GB2312" w:hAnsi="宋体" w:eastAsia="仿宋_GB2312" w:cs="宋体"/>
          <w:spacing w:val="-6"/>
          <w:kern w:val="0"/>
          <w:sz w:val="32"/>
          <w:szCs w:val="32"/>
        </w:rPr>
        <w:t>万元。</w:t>
      </w:r>
    </w:p>
    <w:p>
      <w:pPr>
        <w:spacing w:line="560" w:lineRule="exact"/>
        <w:ind w:firstLine="616" w:firstLineChars="200"/>
        <w:rPr>
          <w:rFonts w:hint="eastAsia" w:ascii="仿宋_GB2312" w:hAnsi="宋体" w:eastAsia="仿宋_GB2312" w:cs="宋体"/>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行政运行支出</w:t>
      </w:r>
      <w:r>
        <w:rPr>
          <w:rFonts w:hint="eastAsia" w:ascii="仿宋_GB2312" w:hAnsi="宋体" w:eastAsia="仿宋_GB2312" w:cs="宋体"/>
          <w:kern w:val="0"/>
          <w:sz w:val="32"/>
          <w:szCs w:val="32"/>
          <w:lang w:val="en-US" w:eastAsia="zh-CN"/>
        </w:rPr>
        <w:t>654.03</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主要用于支付人员职工工资福利及维持机构正常运行；</w:t>
      </w:r>
      <w:r>
        <w:rPr>
          <w:rFonts w:hint="eastAsia" w:ascii="仿宋_GB2312" w:hAnsi="宋体" w:eastAsia="仿宋_GB2312" w:cs="宋体"/>
          <w:kern w:val="0"/>
          <w:sz w:val="32"/>
          <w:szCs w:val="32"/>
          <w:lang w:val="en-US" w:eastAsia="zh-CN"/>
        </w:rPr>
        <w:t>行政单位离退休支出18.68万元，主要用于离退休职工费用；</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val="en-US" w:eastAsia="zh-CN"/>
        </w:rPr>
        <w:t>77.68</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主要用于职工</w:t>
      </w:r>
      <w:r>
        <w:rPr>
          <w:rFonts w:hint="eastAsia" w:ascii="仿宋_GB2312" w:hAnsi="宋体" w:eastAsia="仿宋_GB2312" w:cs="宋体"/>
          <w:kern w:val="0"/>
          <w:sz w:val="32"/>
          <w:szCs w:val="32"/>
        </w:rPr>
        <w:t>基本养老保险缴费；行政单位医疗支出</w:t>
      </w:r>
      <w:r>
        <w:rPr>
          <w:rFonts w:hint="eastAsia" w:ascii="仿宋_GB2312" w:hAnsi="宋体" w:eastAsia="仿宋_GB2312" w:cs="宋体"/>
          <w:kern w:val="0"/>
          <w:sz w:val="32"/>
          <w:szCs w:val="32"/>
          <w:lang w:val="en-US" w:eastAsia="zh-CN"/>
        </w:rPr>
        <w:t>19.4</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事业单位医疗支出26.72万元，主要用于事业单位医疗补助缴费；</w:t>
      </w:r>
      <w:r>
        <w:rPr>
          <w:rFonts w:hint="eastAsia" w:ascii="仿宋_GB2312" w:hAnsi="宋体" w:eastAsia="仿宋_GB2312" w:cs="宋体"/>
          <w:kern w:val="0"/>
          <w:sz w:val="32"/>
          <w:szCs w:val="32"/>
        </w:rPr>
        <w:t>公务员医疗补助支出</w:t>
      </w:r>
      <w:r>
        <w:rPr>
          <w:rFonts w:hint="eastAsia" w:ascii="仿宋_GB2312" w:hAnsi="宋体" w:eastAsia="仿宋_GB2312" w:cs="宋体"/>
          <w:kern w:val="0"/>
          <w:sz w:val="32"/>
          <w:szCs w:val="32"/>
          <w:lang w:val="en-US" w:eastAsia="zh-CN"/>
        </w:rPr>
        <w:t>14.57</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公务员医疗补助缴费；</w:t>
      </w:r>
      <w:r>
        <w:rPr>
          <w:rFonts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val="en-US" w:eastAsia="zh-CN"/>
        </w:rPr>
        <w:t>0.55</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主要用于职工</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住房公积金69.06万元，主要用于职工住房公积金缴费；</w:t>
      </w:r>
      <w:r>
        <w:rPr>
          <w:rFonts w:hint="eastAsia" w:ascii="仿宋_GB2312" w:hAnsi="宋体" w:eastAsia="仿宋_GB2312" w:cs="宋体"/>
          <w:kern w:val="0"/>
          <w:sz w:val="32"/>
          <w:szCs w:val="32"/>
        </w:rPr>
        <w:t>水利执法监督10万元，主要用于水政执法工作经费；</w:t>
      </w:r>
      <w:r>
        <w:rPr>
          <w:rFonts w:hint="eastAsia" w:ascii="仿宋_GB2312" w:hAnsi="宋体" w:eastAsia="仿宋_GB2312" w:cs="宋体"/>
          <w:kern w:val="0"/>
          <w:sz w:val="32"/>
          <w:szCs w:val="32"/>
          <w:lang w:val="en-US" w:eastAsia="zh-CN"/>
        </w:rPr>
        <w:t>水资源节约管理与保护10万元，主要用于水资源管理工作经费；</w:t>
      </w:r>
      <w:r>
        <w:rPr>
          <w:rFonts w:hint="eastAsia" w:ascii="仿宋_GB2312" w:hAnsi="宋体" w:eastAsia="仿宋_GB2312" w:cs="宋体"/>
          <w:kern w:val="0"/>
          <w:sz w:val="32"/>
          <w:szCs w:val="32"/>
        </w:rPr>
        <w:t>防汛10万元，主要用于防汛抗旱工作经费；</w:t>
      </w:r>
      <w:r>
        <w:rPr>
          <w:rFonts w:hint="eastAsia" w:ascii="仿宋_GB2312" w:hAnsi="宋体" w:eastAsia="仿宋_GB2312" w:cs="宋体"/>
          <w:kern w:val="0"/>
          <w:sz w:val="32"/>
          <w:szCs w:val="32"/>
          <w:lang w:val="en-US" w:eastAsia="zh-CN"/>
        </w:rPr>
        <w:t>农村水利</w:t>
      </w:r>
      <w:r>
        <w:rPr>
          <w:rFonts w:hint="eastAsia" w:ascii="仿宋_GB2312" w:hAnsi="宋体" w:eastAsia="仿宋_GB2312" w:cs="宋体"/>
          <w:kern w:val="0"/>
          <w:sz w:val="32"/>
          <w:szCs w:val="32"/>
        </w:rPr>
        <w:t>10万元，主要用于农村饮水安全工作经费；江河湖库水系综合整治50万元，主要用于河湖长制工作经费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信息管理22万元，主要用于信息化网络安全经费；其他水利支出10万元，主要用于昌吉州用水总量控制工作经费</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昌吉州水利局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kern w:val="0"/>
          <w:sz w:val="32"/>
          <w:szCs w:val="32"/>
        </w:rPr>
        <w:t>昌吉州水利局202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年一般公共预算拨款合计</w:t>
      </w:r>
      <w:r>
        <w:rPr>
          <w:rFonts w:hint="eastAsia" w:ascii="仿宋_GB2312" w:hAnsi="宋体" w:eastAsia="仿宋_GB2312" w:cs="宋体"/>
          <w:kern w:val="0"/>
          <w:sz w:val="32"/>
          <w:szCs w:val="32"/>
          <w:lang w:val="en-US" w:eastAsia="zh-CN"/>
        </w:rPr>
        <w:t>1002.69</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val="en-US" w:eastAsia="zh-CN"/>
        </w:rPr>
        <w:t>880.69万元</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52.76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6.37</w:t>
      </w:r>
      <w:r>
        <w:rPr>
          <w:rFonts w:hint="eastAsia" w:ascii="仿宋_GB2312" w:hAnsi="宋体" w:eastAsia="仿宋_GB2312" w:cs="宋体"/>
          <w:kern w:val="0"/>
          <w:sz w:val="32"/>
          <w:szCs w:val="32"/>
        </w:rPr>
        <w:t>%。主要原因是：人员较上年增加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人，人员经费</w:t>
      </w:r>
      <w:r>
        <w:rPr>
          <w:rFonts w:hint="eastAsia" w:ascii="仿宋_GB2312" w:hAnsi="宋体" w:eastAsia="仿宋_GB2312" w:cs="宋体"/>
          <w:color w:val="auto"/>
          <w:kern w:val="0"/>
          <w:sz w:val="32"/>
          <w:szCs w:val="32"/>
        </w:rPr>
        <w:t>预算增加。</w:t>
      </w:r>
    </w:p>
    <w:p>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项目支出</w:t>
      </w:r>
      <w:r>
        <w:rPr>
          <w:rFonts w:hint="eastAsia" w:ascii="仿宋_GB2312" w:hAnsi="宋体" w:eastAsia="仿宋_GB2312" w:cs="宋体"/>
          <w:color w:val="auto"/>
          <w:kern w:val="0"/>
          <w:sz w:val="32"/>
          <w:szCs w:val="32"/>
          <w:lang w:val="en-US" w:eastAsia="zh-CN"/>
        </w:rPr>
        <w:t>122</w:t>
      </w:r>
      <w:r>
        <w:rPr>
          <w:rFonts w:hint="eastAsia" w:ascii="仿宋_GB2312" w:hAnsi="宋体" w:eastAsia="仿宋_GB2312" w:cs="宋体"/>
          <w:color w:val="auto"/>
          <w:kern w:val="0"/>
          <w:sz w:val="32"/>
          <w:szCs w:val="32"/>
        </w:rPr>
        <w:t>万元，比上年预算增加</w:t>
      </w:r>
      <w:r>
        <w:rPr>
          <w:rFonts w:hint="eastAsia" w:ascii="仿宋_GB2312" w:hAnsi="宋体" w:eastAsia="仿宋_GB2312" w:cs="宋体"/>
          <w:color w:val="auto"/>
          <w:kern w:val="0"/>
          <w:sz w:val="32"/>
          <w:szCs w:val="32"/>
          <w:lang w:val="en-US" w:eastAsia="zh-CN"/>
        </w:rPr>
        <w:t>42</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52.5</w:t>
      </w:r>
      <w:r>
        <w:rPr>
          <w:rFonts w:hint="eastAsia" w:ascii="仿宋_GB2312" w:hAnsi="宋体" w:eastAsia="仿宋_GB2312" w:cs="宋体"/>
          <w:color w:val="auto"/>
          <w:kern w:val="0"/>
          <w:sz w:val="32"/>
          <w:szCs w:val="32"/>
        </w:rPr>
        <w:t>%。主要原因是：202</w:t>
      </w:r>
      <w:r>
        <w:rPr>
          <w:rFonts w:hint="eastAsia" w:ascii="仿宋_GB2312" w:hAnsi="宋体" w:eastAsia="仿宋_GB2312" w:cs="宋体"/>
          <w:color w:val="auto"/>
          <w:kern w:val="0"/>
          <w:sz w:val="32"/>
          <w:szCs w:val="32"/>
          <w:lang w:val="en-US" w:eastAsia="zh-CN"/>
        </w:rPr>
        <w:t>2年新增昌吉最严格水资源管理制度考核经费10万元，落实昌吉州用水总量控制方案经费10万元，网络安全保护22万元</w:t>
      </w:r>
      <w:r>
        <w:rPr>
          <w:rFonts w:hint="eastAsia" w:ascii="仿宋_GB2312" w:hAnsi="宋体" w:eastAsia="仿宋_GB2312" w:cs="宋体"/>
          <w:color w:val="auto"/>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1.社会保障和就业支出96.36万元，占9.61%</w:t>
      </w:r>
    </w:p>
    <w:p>
      <w:pPr>
        <w:spacing w:line="560" w:lineRule="exact"/>
        <w:ind w:firstLine="640" w:firstLineChars="200"/>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2.卫生健康支出61.24万元，占6.1%</w:t>
      </w:r>
    </w:p>
    <w:p>
      <w:pPr>
        <w:spacing w:line="560" w:lineRule="exact"/>
        <w:ind w:firstLine="640" w:firstLineChars="200"/>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3.农林水支出776.03万元，占77.39%</w:t>
      </w:r>
    </w:p>
    <w:p>
      <w:pPr>
        <w:spacing w:line="560" w:lineRule="exact"/>
        <w:ind w:firstLine="640" w:firstLineChars="200"/>
        <w:rPr>
          <w:rFonts w:hint="default"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4.住房保障支出69.06万元，占6.88%</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1</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水利</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行政运行</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项</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2</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654.03万元，</w:t>
      </w:r>
      <w:r>
        <w:rPr>
          <w:rFonts w:hint="eastAsia" w:ascii="仿宋_GB2312" w:hAnsi="宋体" w:eastAsia="仿宋_GB2312" w:cs="宋体"/>
          <w:color w:val="auto"/>
          <w:kern w:val="0"/>
          <w:sz w:val="32"/>
          <w:szCs w:val="32"/>
        </w:rPr>
        <w:t>比上年预算数减少</w:t>
      </w:r>
      <w:r>
        <w:rPr>
          <w:rFonts w:hint="eastAsia" w:ascii="仿宋_GB2312" w:hAnsi="宋体" w:eastAsia="仿宋_GB2312" w:cs="宋体"/>
          <w:color w:val="auto"/>
          <w:kern w:val="0"/>
          <w:sz w:val="32"/>
          <w:szCs w:val="32"/>
          <w:lang w:val="en-US" w:eastAsia="zh-CN"/>
        </w:rPr>
        <w:t>15.88</w:t>
      </w:r>
      <w:r>
        <w:rPr>
          <w:rFonts w:hint="eastAsia" w:ascii="仿宋_GB2312" w:hAnsi="宋体" w:eastAsia="仿宋_GB2312" w:cs="宋体"/>
          <w:color w:val="auto"/>
          <w:kern w:val="0"/>
          <w:sz w:val="32"/>
          <w:szCs w:val="32"/>
        </w:rPr>
        <w:t>万元，下降</w:t>
      </w:r>
      <w:r>
        <w:rPr>
          <w:rFonts w:hint="eastAsia" w:ascii="仿宋_GB2312" w:hAnsi="宋体" w:eastAsia="仿宋_GB2312" w:cs="宋体"/>
          <w:color w:val="auto"/>
          <w:kern w:val="0"/>
          <w:sz w:val="32"/>
          <w:szCs w:val="32"/>
          <w:lang w:val="en-US" w:eastAsia="zh-CN"/>
        </w:rPr>
        <w:t>2.37</w:t>
      </w:r>
      <w:r>
        <w:rPr>
          <w:rFonts w:hint="eastAsia" w:ascii="仿宋_GB2312" w:hAnsi="宋体" w:eastAsia="仿宋_GB2312" w:cs="宋体"/>
          <w:color w:val="auto"/>
          <w:kern w:val="0"/>
          <w:sz w:val="32"/>
          <w:szCs w:val="32"/>
        </w:rPr>
        <w:t>%，主要原因是：202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w:t>
      </w:r>
      <w:r>
        <w:rPr>
          <w:rFonts w:hint="eastAsia" w:ascii="仿宋_GB2312" w:hAnsi="宋体" w:eastAsia="仿宋_GB2312" w:cs="宋体"/>
          <w:color w:val="auto"/>
          <w:kern w:val="0"/>
          <w:sz w:val="32"/>
          <w:szCs w:val="32"/>
          <w:lang w:val="en-US" w:eastAsia="zh-CN"/>
        </w:rPr>
        <w:t>行政单位离退休</w:t>
      </w:r>
      <w:r>
        <w:rPr>
          <w:rFonts w:hint="eastAsia" w:ascii="仿宋_GB2312" w:hAnsi="宋体" w:eastAsia="仿宋_GB2312" w:cs="宋体"/>
          <w:color w:val="auto"/>
          <w:kern w:val="0"/>
          <w:sz w:val="32"/>
          <w:szCs w:val="32"/>
        </w:rPr>
        <w:t>重新分配了类款项，不在行政运行中整体核算。</w:t>
      </w:r>
    </w:p>
    <w:p>
      <w:pPr>
        <w:snapToGrid w:val="0"/>
        <w:spacing w:line="560" w:lineRule="exact"/>
        <w:ind w:firstLine="640" w:firstLineChars="200"/>
        <w:textAlignment w:val="baseline"/>
        <w:rPr>
          <w:rFonts w:hint="eastAsia" w:ascii="仿宋_GB2312" w:hAnsi="宋体" w:eastAsia="仿宋_GB2312" w:cs="宋体"/>
          <w:color w:val="auto"/>
          <w:kern w:val="0"/>
          <w:sz w:val="32"/>
          <w:szCs w:val="32"/>
        </w:rPr>
      </w:pPr>
      <w:r>
        <w:rPr>
          <w:rFonts w:hint="eastAsia" w:ascii="仿宋_GB2312" w:eastAsia="仿宋_GB2312"/>
          <w:color w:val="auto"/>
          <w:sz w:val="32"/>
          <w:szCs w:val="32"/>
          <w:lang w:val="en-US" w:eastAsia="zh-CN"/>
        </w:rPr>
        <w:t>2、</w:t>
      </w:r>
      <w:r>
        <w:rPr>
          <w:rFonts w:hint="eastAsia" w:ascii="仿宋_GB2312" w:hAnsi="宋体" w:eastAsia="仿宋_GB2312" w:cs="宋体"/>
          <w:color w:val="auto"/>
          <w:kern w:val="0"/>
          <w:sz w:val="32"/>
          <w:szCs w:val="32"/>
          <w:lang w:val="en-US" w:eastAsia="zh-CN"/>
        </w:rPr>
        <w:t>社会保障和就业支出（类）行政事业单位养老支出（款）行政单位离退休支出（项）：2022年预算数为18.68万元，</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18.68</w:t>
      </w:r>
      <w:r>
        <w:rPr>
          <w:rFonts w:hint="eastAsia" w:ascii="仿宋_GB2312" w:hAnsi="宋体" w:eastAsia="仿宋_GB2312" w:cs="宋体"/>
          <w:color w:val="auto"/>
          <w:kern w:val="0"/>
          <w:sz w:val="32"/>
          <w:szCs w:val="32"/>
        </w:rPr>
        <w:t>万元，增加100%，主要原因是：202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年新增加类款项。</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3</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社会保障和就业支出（类）行政事业单位养老支出（款）</w:t>
      </w:r>
      <w:r>
        <w:rPr>
          <w:rFonts w:hint="eastAsia" w:ascii="仿宋_GB2312" w:hAnsi="宋体" w:eastAsia="仿宋_GB2312" w:cs="宋体"/>
          <w:color w:val="auto"/>
          <w:kern w:val="0"/>
          <w:sz w:val="32"/>
          <w:szCs w:val="32"/>
        </w:rPr>
        <w:t>机关事业单位基本养老保险缴费</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项</w:t>
      </w:r>
      <w:r>
        <w:rPr>
          <w:rFonts w:hint="eastAsia" w:ascii="仿宋_GB2312" w:hAnsi="宋体" w:eastAsia="仿宋_GB2312" w:cs="宋体"/>
          <w:color w:val="auto"/>
          <w:kern w:val="0"/>
          <w:sz w:val="32"/>
          <w:szCs w:val="32"/>
          <w:lang w:eastAsia="zh-CN"/>
        </w:rPr>
        <w:t>）</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20</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2</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77.68万元，</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10</w:t>
      </w:r>
      <w:r>
        <w:rPr>
          <w:rFonts w:hint="eastAsia" w:ascii="仿宋_GB2312" w:hAnsi="宋体" w:eastAsia="仿宋_GB2312" w:cs="宋体"/>
          <w:color w:val="auto"/>
          <w:kern w:val="0"/>
          <w:sz w:val="32"/>
          <w:szCs w:val="32"/>
        </w:rPr>
        <w:t>万元，增加</w:t>
      </w:r>
      <w:r>
        <w:rPr>
          <w:rFonts w:hint="eastAsia" w:ascii="仿宋_GB2312" w:hAnsi="宋体" w:eastAsia="仿宋_GB2312" w:cs="宋体"/>
          <w:color w:val="auto"/>
          <w:kern w:val="0"/>
          <w:sz w:val="32"/>
          <w:szCs w:val="32"/>
          <w:lang w:val="en-US" w:eastAsia="zh-CN"/>
        </w:rPr>
        <w:t>14.78</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2022年</w:t>
      </w:r>
      <w:r>
        <w:rPr>
          <w:rFonts w:hint="eastAsia" w:ascii="仿宋_GB2312" w:hAnsi="宋体" w:eastAsia="仿宋_GB2312" w:cs="宋体"/>
          <w:color w:val="auto"/>
          <w:kern w:val="0"/>
          <w:sz w:val="32"/>
          <w:szCs w:val="32"/>
        </w:rPr>
        <w:t>人员较上年增加</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人。</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color w:val="auto"/>
          <w:kern w:val="0"/>
          <w:sz w:val="32"/>
          <w:szCs w:val="32"/>
        </w:rPr>
        <w:t>、卫生健康支出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行政事业单位医疗</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行政单位医疗</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项</w:t>
      </w:r>
      <w:r>
        <w:rPr>
          <w:rFonts w:hint="eastAsia" w:ascii="仿宋_GB2312" w:hAnsi="宋体" w:eastAsia="仿宋_GB2312" w:cs="宋体"/>
          <w:color w:val="auto"/>
          <w:kern w:val="0"/>
          <w:sz w:val="32"/>
          <w:szCs w:val="32"/>
          <w:lang w:eastAsia="zh-CN"/>
        </w:rPr>
        <w:t>）</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2</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19.4万元，</w:t>
      </w:r>
      <w:r>
        <w:rPr>
          <w:rFonts w:hint="eastAsia" w:ascii="仿宋_GB2312" w:hAnsi="宋体" w:eastAsia="仿宋_GB2312" w:cs="宋体"/>
          <w:color w:val="auto"/>
          <w:kern w:val="0"/>
          <w:sz w:val="32"/>
          <w:szCs w:val="32"/>
        </w:rPr>
        <w:t>比上年预算数</w:t>
      </w:r>
      <w:r>
        <w:rPr>
          <w:rFonts w:hint="eastAsia" w:ascii="仿宋_GB2312" w:hAnsi="宋体" w:eastAsia="仿宋_GB2312" w:cs="宋体"/>
          <w:color w:val="auto"/>
          <w:kern w:val="0"/>
          <w:sz w:val="32"/>
          <w:szCs w:val="32"/>
          <w:lang w:val="en-US" w:eastAsia="zh-CN"/>
        </w:rPr>
        <w:t>减少48.01</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val="en-US" w:eastAsia="zh-CN"/>
        </w:rPr>
        <w:t>减少71.22</w:t>
      </w:r>
      <w:r>
        <w:rPr>
          <w:rFonts w:hint="eastAsia" w:ascii="仿宋_GB2312" w:hAnsi="宋体" w:eastAsia="仿宋_GB2312" w:cs="宋体"/>
          <w:color w:val="auto"/>
          <w:kern w:val="0"/>
          <w:sz w:val="32"/>
          <w:szCs w:val="32"/>
        </w:rPr>
        <w:t>%，主要原因是：202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w:t>
      </w:r>
      <w:r>
        <w:rPr>
          <w:rFonts w:hint="eastAsia" w:ascii="仿宋_GB2312" w:hAnsi="宋体" w:eastAsia="仿宋_GB2312" w:cs="宋体"/>
          <w:color w:val="auto"/>
          <w:kern w:val="0"/>
          <w:sz w:val="32"/>
          <w:szCs w:val="32"/>
          <w:lang w:val="en-US" w:eastAsia="zh-CN"/>
        </w:rPr>
        <w:t>事业单位医疗、住房公积金</w:t>
      </w:r>
      <w:r>
        <w:rPr>
          <w:rFonts w:hint="eastAsia" w:ascii="仿宋_GB2312" w:hAnsi="宋体" w:eastAsia="仿宋_GB2312" w:cs="宋体"/>
          <w:color w:val="auto"/>
          <w:kern w:val="0"/>
          <w:sz w:val="32"/>
          <w:szCs w:val="32"/>
        </w:rPr>
        <w:t>新增加类款项</w:t>
      </w:r>
      <w:r>
        <w:rPr>
          <w:rFonts w:hint="eastAsia" w:ascii="仿宋_GB2312" w:hAnsi="宋体" w:eastAsia="仿宋_GB2312" w:cs="宋体"/>
          <w:color w:val="auto"/>
          <w:kern w:val="0"/>
          <w:sz w:val="32"/>
          <w:szCs w:val="32"/>
          <w:lang w:eastAsia="zh-CN"/>
        </w:rPr>
        <w:t>，不在行政单位医疗中核算</w:t>
      </w:r>
      <w:r>
        <w:rPr>
          <w:rFonts w:hint="eastAsia" w:ascii="仿宋_GB2312" w:hAnsi="宋体" w:eastAsia="仿宋_GB2312" w:cs="宋体"/>
          <w:color w:val="auto"/>
          <w:kern w:val="0"/>
          <w:sz w:val="32"/>
          <w:szCs w:val="32"/>
        </w:rPr>
        <w:t>。</w:t>
      </w:r>
    </w:p>
    <w:p>
      <w:pPr>
        <w:snapToGrid w:val="0"/>
        <w:spacing w:line="560" w:lineRule="exact"/>
        <w:ind w:firstLine="640" w:firstLineChars="200"/>
        <w:textAlignment w:val="baseline"/>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5、</w:t>
      </w:r>
      <w:r>
        <w:rPr>
          <w:rFonts w:hint="eastAsia" w:ascii="仿宋_GB2312" w:hAnsi="宋体" w:eastAsia="仿宋_GB2312" w:cs="宋体"/>
          <w:color w:val="auto"/>
          <w:kern w:val="0"/>
          <w:sz w:val="32"/>
          <w:szCs w:val="32"/>
        </w:rPr>
        <w:t>卫生健康支出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行政事业单位医疗</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事业单位医疗支出（项）：2022年预算数为26.72万元，</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26.72</w:t>
      </w:r>
      <w:r>
        <w:rPr>
          <w:rFonts w:hint="eastAsia" w:ascii="仿宋_GB2312" w:hAnsi="宋体" w:eastAsia="仿宋_GB2312" w:cs="宋体"/>
          <w:color w:val="auto"/>
          <w:kern w:val="0"/>
          <w:sz w:val="32"/>
          <w:szCs w:val="32"/>
        </w:rPr>
        <w:t>万元，增加100%，主要原因是：202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年新增加类款项。</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6</w:t>
      </w:r>
      <w:r>
        <w:rPr>
          <w:rFonts w:hint="eastAsia" w:ascii="仿宋_GB2312" w:hAnsi="宋体" w:eastAsia="仿宋_GB2312" w:cs="宋体"/>
          <w:color w:val="auto"/>
          <w:kern w:val="0"/>
          <w:sz w:val="32"/>
          <w:szCs w:val="32"/>
        </w:rPr>
        <w:t>、卫生健康支出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行政事业单位医疗</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公务员医疗补助</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项</w:t>
      </w:r>
      <w:r>
        <w:rPr>
          <w:rFonts w:hint="eastAsia" w:ascii="仿宋_GB2312" w:hAnsi="宋体" w:eastAsia="仿宋_GB2312" w:cs="宋体"/>
          <w:color w:val="auto"/>
          <w:kern w:val="0"/>
          <w:sz w:val="32"/>
          <w:szCs w:val="32"/>
          <w:lang w:eastAsia="zh-CN"/>
        </w:rPr>
        <w:t>）</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2</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14.57</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比上年预算</w:t>
      </w:r>
      <w:r>
        <w:rPr>
          <w:rFonts w:hint="eastAsia" w:ascii="仿宋_GB2312" w:hAnsi="宋体" w:eastAsia="仿宋_GB2312" w:cs="宋体"/>
          <w:color w:val="auto"/>
          <w:kern w:val="0"/>
          <w:sz w:val="32"/>
          <w:szCs w:val="32"/>
          <w:lang w:val="en-US" w:eastAsia="zh-CN"/>
        </w:rPr>
        <w:t>数减少7.19</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val="en-US" w:eastAsia="zh-CN"/>
        </w:rPr>
        <w:t>减少33.04</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缴费比例降低</w:t>
      </w:r>
      <w:r>
        <w:rPr>
          <w:rFonts w:hint="eastAsia" w:ascii="仿宋_GB2312" w:hAnsi="宋体" w:eastAsia="仿宋_GB2312" w:cs="宋体"/>
          <w:color w:val="auto"/>
          <w:kern w:val="0"/>
          <w:sz w:val="32"/>
          <w:szCs w:val="32"/>
        </w:rPr>
        <w:t>。</w:t>
      </w:r>
    </w:p>
    <w:p>
      <w:pPr>
        <w:snapToGrid w:val="0"/>
        <w:spacing w:line="560" w:lineRule="exact"/>
        <w:ind w:firstLine="640" w:firstLineChars="200"/>
        <w:textAlignment w:val="baseline"/>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7</w:t>
      </w:r>
      <w:r>
        <w:rPr>
          <w:rFonts w:hint="eastAsia" w:ascii="仿宋_GB2312" w:hAnsi="宋体" w:eastAsia="仿宋_GB2312" w:cs="宋体"/>
          <w:color w:val="auto"/>
          <w:kern w:val="0"/>
          <w:sz w:val="32"/>
          <w:szCs w:val="32"/>
        </w:rPr>
        <w:t>、卫生健康支出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行政事业单位医疗</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ascii="仿宋_GB2312" w:hAnsi="宋体" w:eastAsia="仿宋_GB2312" w:cs="宋体"/>
          <w:color w:val="auto"/>
          <w:kern w:val="0"/>
          <w:sz w:val="32"/>
          <w:szCs w:val="32"/>
        </w:rPr>
        <w:t>其他行政事业单位医疗</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项</w:t>
      </w:r>
      <w:r>
        <w:rPr>
          <w:rFonts w:hint="eastAsia" w:ascii="仿宋_GB2312" w:hAnsi="宋体" w:eastAsia="仿宋_GB2312" w:cs="宋体"/>
          <w:color w:val="auto"/>
          <w:kern w:val="0"/>
          <w:sz w:val="32"/>
          <w:szCs w:val="32"/>
          <w:lang w:eastAsia="zh-CN"/>
        </w:rPr>
        <w:t>）</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2</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0.55</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比上年预算数</w:t>
      </w:r>
      <w:r>
        <w:rPr>
          <w:rFonts w:hint="eastAsia" w:ascii="仿宋_GB2312" w:hAnsi="宋体" w:eastAsia="仿宋_GB2312" w:cs="宋体"/>
          <w:color w:val="auto"/>
          <w:kern w:val="0"/>
          <w:sz w:val="32"/>
          <w:szCs w:val="32"/>
          <w:lang w:val="en-US" w:eastAsia="zh-CN"/>
        </w:rPr>
        <w:t>减少0.62万</w:t>
      </w:r>
      <w:r>
        <w:rPr>
          <w:rFonts w:hint="eastAsia" w:ascii="仿宋_GB2312" w:hAnsi="宋体" w:eastAsia="仿宋_GB2312" w:cs="宋体"/>
          <w:color w:val="auto"/>
          <w:kern w:val="0"/>
          <w:sz w:val="32"/>
          <w:szCs w:val="32"/>
        </w:rPr>
        <w:t>元，</w:t>
      </w:r>
      <w:r>
        <w:rPr>
          <w:rFonts w:hint="eastAsia" w:ascii="仿宋_GB2312" w:hAnsi="宋体" w:eastAsia="仿宋_GB2312" w:cs="宋体"/>
          <w:color w:val="auto"/>
          <w:kern w:val="0"/>
          <w:sz w:val="32"/>
          <w:szCs w:val="32"/>
          <w:lang w:val="en-US" w:eastAsia="zh-CN"/>
        </w:rPr>
        <w:t>减少52.99</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：缴费比例降低</w:t>
      </w:r>
      <w:r>
        <w:rPr>
          <w:rFonts w:hint="eastAsia" w:ascii="仿宋_GB2312" w:hAnsi="宋体" w:eastAsia="仿宋_GB2312" w:cs="宋体"/>
          <w:color w:val="auto"/>
          <w:kern w:val="0"/>
          <w:sz w:val="32"/>
          <w:szCs w:val="32"/>
        </w:rPr>
        <w:t>。</w:t>
      </w:r>
    </w:p>
    <w:p>
      <w:pPr>
        <w:snapToGrid w:val="0"/>
        <w:spacing w:line="560" w:lineRule="exact"/>
        <w:ind w:firstLine="640" w:firstLineChars="200"/>
        <w:textAlignment w:val="baseline"/>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8、住房保障支出（类）住房改革支出（款）住房公积金（项)：2022年预算数为69.06万元，</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69.06</w:t>
      </w:r>
      <w:r>
        <w:rPr>
          <w:rFonts w:hint="eastAsia" w:ascii="仿宋_GB2312" w:hAnsi="宋体" w:eastAsia="仿宋_GB2312" w:cs="宋体"/>
          <w:color w:val="auto"/>
          <w:kern w:val="0"/>
          <w:sz w:val="32"/>
          <w:szCs w:val="32"/>
        </w:rPr>
        <w:t>万元，增加100%，主要原因是：202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年新增加类款项。</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9、</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水利</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水利执法监督</w:t>
      </w:r>
      <w:r>
        <w:rPr>
          <w:rFonts w:hint="eastAsia" w:ascii="仿宋_GB2312" w:hAnsi="宋体" w:eastAsia="仿宋_GB2312" w:cs="宋体"/>
          <w:color w:val="auto"/>
          <w:kern w:val="0"/>
          <w:sz w:val="32"/>
          <w:szCs w:val="32"/>
          <w:lang w:val="en-US" w:eastAsia="zh-CN"/>
        </w:rPr>
        <w:t>(项)</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2022年预算数为10</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val="en-US" w:eastAsia="zh-CN"/>
        </w:rPr>
        <w:t>，与上年预算数一致。</w:t>
      </w:r>
    </w:p>
    <w:p>
      <w:pPr>
        <w:spacing w:line="560" w:lineRule="exact"/>
        <w:ind w:firstLine="640" w:firstLineChars="200"/>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10、</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水利</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防汛</w:t>
      </w:r>
      <w:r>
        <w:rPr>
          <w:rFonts w:hint="eastAsia" w:ascii="仿宋_GB2312" w:hAnsi="宋体" w:eastAsia="仿宋_GB2312" w:cs="宋体"/>
          <w:color w:val="auto"/>
          <w:kern w:val="0"/>
          <w:sz w:val="32"/>
          <w:szCs w:val="32"/>
          <w:lang w:val="en-US" w:eastAsia="zh-CN"/>
        </w:rPr>
        <w:t>(项)</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2022年预算数为10</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val="en-US" w:eastAsia="zh-CN"/>
        </w:rPr>
        <w:t>，与上年预算数一致。</w:t>
      </w:r>
    </w:p>
    <w:p>
      <w:pPr>
        <w:spacing w:line="560" w:lineRule="exact"/>
        <w:ind w:firstLine="640" w:firstLineChars="200"/>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11、</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水利</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农村水利(项)：2022年预算数为10</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val="en-US" w:eastAsia="zh-CN"/>
        </w:rPr>
        <w:t>，与上年预算数一致。</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12、</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水利</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江河湖库水系综合整治</w:t>
      </w:r>
      <w:r>
        <w:rPr>
          <w:rFonts w:hint="eastAsia" w:ascii="仿宋_GB2312" w:hAnsi="宋体" w:eastAsia="仿宋_GB2312" w:cs="宋体"/>
          <w:color w:val="auto"/>
          <w:kern w:val="0"/>
          <w:sz w:val="32"/>
          <w:szCs w:val="32"/>
          <w:lang w:val="en-US" w:eastAsia="zh-CN"/>
        </w:rPr>
        <w:t>(项)</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2022年预算数为</w:t>
      </w:r>
      <w:r>
        <w:rPr>
          <w:rFonts w:hint="eastAsia" w:ascii="仿宋_GB2312" w:hAnsi="宋体" w:eastAsia="仿宋_GB2312" w:cs="宋体"/>
          <w:color w:val="auto"/>
          <w:kern w:val="0"/>
          <w:sz w:val="32"/>
          <w:szCs w:val="32"/>
        </w:rPr>
        <w:t>50万元</w:t>
      </w:r>
      <w:r>
        <w:rPr>
          <w:rFonts w:hint="eastAsia" w:ascii="仿宋_GB2312" w:hAnsi="宋体" w:eastAsia="仿宋_GB2312" w:cs="宋体"/>
          <w:color w:val="auto"/>
          <w:kern w:val="0"/>
          <w:sz w:val="32"/>
          <w:szCs w:val="32"/>
          <w:lang w:val="en-US" w:eastAsia="zh-CN"/>
        </w:rPr>
        <w:t>，与上年预算数一致。</w:t>
      </w:r>
    </w:p>
    <w:p>
      <w:pPr>
        <w:snapToGrid w:val="0"/>
        <w:spacing w:line="560" w:lineRule="exact"/>
        <w:ind w:firstLine="640" w:firstLineChars="200"/>
        <w:textAlignment w:val="baseline"/>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13、</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水利</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水资源节约管理与保护(项)：2022年预算数为10万元，</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10</w:t>
      </w:r>
      <w:r>
        <w:rPr>
          <w:rFonts w:hint="eastAsia" w:ascii="仿宋_GB2312" w:hAnsi="宋体" w:eastAsia="仿宋_GB2312" w:cs="宋体"/>
          <w:color w:val="auto"/>
          <w:kern w:val="0"/>
          <w:sz w:val="32"/>
          <w:szCs w:val="32"/>
        </w:rPr>
        <w:t>万元，增长100%，主要原因是：202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年新增加类款项。</w:t>
      </w:r>
    </w:p>
    <w:p>
      <w:pPr>
        <w:snapToGrid w:val="0"/>
        <w:spacing w:line="560" w:lineRule="exact"/>
        <w:ind w:firstLine="640" w:firstLineChars="200"/>
        <w:textAlignment w:val="baseline"/>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14、</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水利</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信息管理(项)：2022年预算数为22万元，</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22</w:t>
      </w:r>
      <w:r>
        <w:rPr>
          <w:rFonts w:hint="eastAsia" w:ascii="仿宋_GB2312" w:hAnsi="宋体" w:eastAsia="仿宋_GB2312" w:cs="宋体"/>
          <w:color w:val="auto"/>
          <w:kern w:val="0"/>
          <w:sz w:val="32"/>
          <w:szCs w:val="32"/>
        </w:rPr>
        <w:t>万元，增长100%，主要原因是：202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年新增加类款项。</w:t>
      </w:r>
    </w:p>
    <w:p>
      <w:pPr>
        <w:snapToGrid w:val="0"/>
        <w:spacing w:line="560" w:lineRule="exact"/>
        <w:ind w:firstLine="640" w:firstLineChars="200"/>
        <w:textAlignment w:val="baseline"/>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15、</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类</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水利</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其他水利支出(项)：2022年预算数为10万元，</w:t>
      </w:r>
      <w:r>
        <w:rPr>
          <w:rFonts w:hint="eastAsia" w:ascii="仿宋_GB2312" w:hAnsi="宋体" w:eastAsia="仿宋_GB2312" w:cs="宋体"/>
          <w:color w:val="auto"/>
          <w:kern w:val="0"/>
          <w:sz w:val="32"/>
          <w:szCs w:val="32"/>
        </w:rPr>
        <w:t>比上年预算数增加10万元，增长100%，主要原因是：202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年新增加类款项。</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昌吉州水利局</w:t>
      </w:r>
      <w:r>
        <w:rPr>
          <w:rFonts w:hint="eastAsia" w:ascii="楷体_GB2312" w:hAnsi="楷体_GB2312" w:eastAsia="楷体_GB2312" w:cs="楷体_GB2312"/>
          <w:b/>
          <w:bCs/>
          <w:spacing w:val="-6"/>
          <w:kern w:val="0"/>
          <w:sz w:val="32"/>
          <w:szCs w:val="32"/>
        </w:rPr>
        <w:t>2022年一般公共预算基本支出情况说明</w:t>
      </w:r>
    </w:p>
    <w:p>
      <w:pPr>
        <w:snapToGrid w:val="0"/>
        <w:spacing w:line="560" w:lineRule="exact"/>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昌吉州水利局2021年一般公共预算基本支出</w:t>
      </w:r>
      <w:r>
        <w:rPr>
          <w:rFonts w:hint="eastAsia" w:ascii="仿宋_GB2312" w:hAnsi="宋体" w:eastAsia="仿宋_GB2312" w:cs="宋体"/>
          <w:kern w:val="0"/>
          <w:sz w:val="32"/>
          <w:szCs w:val="32"/>
          <w:lang w:val="en-US" w:eastAsia="zh-CN"/>
        </w:rPr>
        <w:t>880.69</w:t>
      </w:r>
      <w:r>
        <w:rPr>
          <w:rFonts w:hint="eastAsia" w:ascii="仿宋_GB2312" w:hAnsi="宋体" w:eastAsia="仿宋_GB2312" w:cs="宋体"/>
          <w:kern w:val="0"/>
          <w:sz w:val="32"/>
          <w:szCs w:val="32"/>
        </w:rPr>
        <w:t>万元， 其中：</w:t>
      </w:r>
    </w:p>
    <w:p>
      <w:pPr>
        <w:snapToGrid w:val="0"/>
        <w:spacing w:line="560" w:lineRule="exact"/>
        <w:ind w:firstLine="640" w:firstLineChars="200"/>
        <w:textAlignment w:val="baseline"/>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793.17</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城镇职工基本医疗保险缴</w:t>
      </w:r>
      <w:r>
        <w:rPr>
          <w:rFonts w:hint="eastAsia" w:ascii="仿宋_GB2312" w:hAnsi="宋体" w:eastAsia="仿宋_GB2312" w:cs="宋体"/>
          <w:kern w:val="0"/>
          <w:sz w:val="32"/>
          <w:szCs w:val="32"/>
          <w:lang w:eastAsia="zh-CN"/>
        </w:rPr>
        <w:t>费、</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其他工资福利支</w:t>
      </w:r>
      <w:r>
        <w:rPr>
          <w:rFonts w:hint="eastAsia" w:ascii="仿宋_GB2312" w:hAnsi="宋体" w:eastAsia="仿宋_GB2312" w:cs="宋体"/>
          <w:kern w:val="0"/>
          <w:sz w:val="32"/>
          <w:szCs w:val="32"/>
          <w:lang w:eastAsia="zh-CN"/>
        </w:rPr>
        <w:t>出、离休费、生活补助、医疗费补助、奖励金、其他对个人和家庭的补助。</w:t>
      </w:r>
    </w:p>
    <w:p>
      <w:pPr>
        <w:snapToGrid w:val="0"/>
        <w:spacing w:line="560" w:lineRule="exact"/>
        <w:ind w:firstLine="640" w:firstLineChars="200"/>
        <w:textAlignment w:val="baseline"/>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公用经费87.</w:t>
      </w:r>
      <w:r>
        <w:rPr>
          <w:rFonts w:hint="eastAsia" w:ascii="仿宋_GB2312" w:hAnsi="宋体" w:eastAsia="仿宋_GB2312" w:cs="宋体"/>
          <w:kern w:val="0"/>
          <w:sz w:val="32"/>
          <w:szCs w:val="32"/>
          <w:lang w:val="en-US" w:eastAsia="zh-CN"/>
        </w:rPr>
        <w:t>52</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物业管理费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其他交通费用</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昌吉州水利局</w:t>
      </w:r>
      <w:r>
        <w:rPr>
          <w:rFonts w:hint="eastAsia" w:ascii="楷体_GB2312" w:hAnsi="楷体_GB2312" w:eastAsia="楷体_GB2312" w:cs="楷体_GB2312"/>
          <w:b/>
          <w:bCs/>
          <w:spacing w:val="-6"/>
          <w:kern w:val="0"/>
          <w:sz w:val="32"/>
          <w:szCs w:val="32"/>
        </w:rPr>
        <w:t>2022年一般公共预算项目支出情况说明</w:t>
      </w:r>
    </w:p>
    <w:p>
      <w:pPr>
        <w:snapToGrid w:val="0"/>
        <w:spacing w:line="560" w:lineRule="exact"/>
        <w:ind w:firstLine="640" w:firstLineChars="200"/>
        <w:textAlignment w:val="baseline"/>
        <w:rPr>
          <w:rFonts w:ascii="仿宋_GB2312" w:hAnsi="宋体" w:eastAsia="仿宋_GB2312" w:cs="宋体"/>
          <w:kern w:val="0"/>
          <w:sz w:val="32"/>
          <w:szCs w:val="32"/>
        </w:rPr>
      </w:pPr>
      <w:r>
        <w:rPr>
          <w:rFonts w:hint="eastAsia" w:ascii="仿宋_GB2312" w:hAnsi="黑体" w:eastAsia="仿宋_GB2312"/>
          <w:sz w:val="32"/>
          <w:szCs w:val="32"/>
        </w:rPr>
        <w:t>一、项目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河湖长制工作经费</w:t>
      </w:r>
    </w:p>
    <w:p>
      <w:pPr>
        <w:snapToGrid w:val="0"/>
        <w:spacing w:line="560" w:lineRule="exact"/>
        <w:ind w:firstLine="640" w:firstLineChars="200"/>
        <w:textAlignment w:val="baseline"/>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《自治州全面实施河长制工作方案》（昌州党办发[2017]86号）</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50万元</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昌吉州水利局</w:t>
      </w:r>
    </w:p>
    <w:p>
      <w:pPr>
        <w:snapToGrid w:val="0"/>
        <w:spacing w:line="560" w:lineRule="exact"/>
        <w:ind w:firstLine="640" w:firstLineChars="200"/>
        <w:textAlignment w:val="baseline"/>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四条一亿以上河流生态水量监测断面建设预算</w:t>
      </w:r>
      <w:r>
        <w:rPr>
          <w:rFonts w:hint="eastAsia" w:ascii="仿宋_GB2312" w:hAnsi="黑体" w:eastAsia="仿宋_GB2312"/>
          <w:sz w:val="32"/>
          <w:szCs w:val="32"/>
          <w:lang w:val="en-US" w:eastAsia="zh-CN"/>
        </w:rPr>
        <w:t>40万元、宣传预算0.5万元、培训预算1.5万元、督导考察成本预算8万元。</w:t>
      </w:r>
    </w:p>
    <w:p>
      <w:pPr>
        <w:snapToGrid w:val="0"/>
        <w:spacing w:line="560" w:lineRule="exact"/>
        <w:ind w:firstLine="640" w:firstLineChars="200"/>
        <w:textAlignment w:val="baseline"/>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年1月1日至12月31日</w:t>
      </w:r>
    </w:p>
    <w:p>
      <w:pPr>
        <w:snapToGrid w:val="0"/>
        <w:spacing w:line="560" w:lineRule="exact"/>
        <w:ind w:left="640"/>
        <w:textAlignment w:val="baseline"/>
        <w:rPr>
          <w:rFonts w:ascii="仿宋_GB2312" w:hAnsi="宋体" w:eastAsia="仿宋_GB2312" w:cs="宋体"/>
          <w:kern w:val="0"/>
          <w:sz w:val="32"/>
          <w:szCs w:val="32"/>
        </w:rPr>
      </w:pPr>
      <w:r>
        <w:rPr>
          <w:rFonts w:hint="eastAsia" w:ascii="仿宋_GB2312" w:hAnsi="黑体" w:eastAsia="仿宋_GB2312"/>
          <w:sz w:val="32"/>
          <w:szCs w:val="32"/>
        </w:rPr>
        <w:t>二、项目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水政执法工作经费</w:t>
      </w:r>
    </w:p>
    <w:p>
      <w:pPr>
        <w:snapToGrid w:val="0"/>
        <w:spacing w:line="560" w:lineRule="exact"/>
        <w:ind w:firstLine="640" w:firstLineChars="200"/>
        <w:textAlignment w:val="baseline"/>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fldChar w:fldCharType="begin"/>
      </w:r>
      <w:r>
        <w:instrText xml:space="preserve"> HYPERLINK "https://baike.sogou.com/lemma/ShowInnerLink.htm?lemmaId=290297&amp;ss_c=ssc.citiao.link" \t "https://baike.sogou.com/_blank" </w:instrText>
      </w:r>
      <w:r>
        <w:fldChar w:fldCharType="separate"/>
      </w:r>
      <w:r>
        <w:rPr>
          <w:rFonts w:ascii="仿宋_GB2312" w:hAnsi="宋体" w:eastAsia="仿宋_GB2312" w:cs="宋体"/>
          <w:kern w:val="0"/>
          <w:sz w:val="32"/>
          <w:szCs w:val="32"/>
        </w:rPr>
        <w:t>中华人民共和国水法</w:t>
      </w:r>
      <w:r>
        <w:rPr>
          <w:rFonts w:ascii="仿宋_GB2312" w:hAnsi="宋体" w:eastAsia="仿宋_GB2312" w:cs="宋体"/>
          <w:kern w:val="0"/>
          <w:sz w:val="32"/>
          <w:szCs w:val="32"/>
        </w:rPr>
        <w:fldChar w:fldCharType="end"/>
      </w:r>
      <w:r>
        <w:rPr>
          <w:rFonts w:ascii="仿宋_GB2312" w:hAnsi="宋体" w:eastAsia="仿宋_GB2312" w:cs="宋体"/>
          <w:kern w:val="0"/>
          <w:sz w:val="32"/>
          <w:szCs w:val="32"/>
        </w:rPr>
        <w:t>》</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w:t>
      </w:r>
      <w:r>
        <w:rPr>
          <w:rFonts w:hint="eastAsia" w:ascii="仿宋_GB2312" w:hAnsi="宋体" w:eastAsia="仿宋_GB2312" w:cs="宋体"/>
          <w:kern w:val="0"/>
          <w:sz w:val="32"/>
          <w:szCs w:val="32"/>
        </w:rPr>
        <w:t>0万元</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昌吉州水利局</w:t>
      </w:r>
    </w:p>
    <w:p>
      <w:pPr>
        <w:snapToGrid w:val="0"/>
        <w:spacing w:line="560" w:lineRule="exact"/>
        <w:ind w:firstLine="640" w:firstLineChars="200"/>
        <w:textAlignment w:val="baseline"/>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执法办案经费预算10万元。</w:t>
      </w:r>
    </w:p>
    <w:p>
      <w:pPr>
        <w:snapToGrid w:val="0"/>
        <w:spacing w:line="560" w:lineRule="exact"/>
        <w:ind w:firstLine="640" w:firstLineChars="200"/>
        <w:textAlignment w:val="baseline"/>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年1月1日至12月31日</w:t>
      </w:r>
    </w:p>
    <w:p>
      <w:pPr>
        <w:snapToGrid w:val="0"/>
        <w:spacing w:line="560" w:lineRule="exact"/>
        <w:ind w:left="640"/>
        <w:textAlignment w:val="baseline"/>
        <w:rPr>
          <w:rFonts w:ascii="仿宋_GB2312" w:hAnsi="宋体" w:eastAsia="仿宋_GB2312" w:cs="宋体"/>
          <w:kern w:val="0"/>
          <w:sz w:val="32"/>
          <w:szCs w:val="32"/>
        </w:rPr>
      </w:pPr>
      <w:r>
        <w:rPr>
          <w:rFonts w:hint="eastAsia" w:ascii="仿宋_GB2312" w:hAnsi="黑体" w:eastAsia="仿宋_GB2312"/>
          <w:sz w:val="32"/>
          <w:szCs w:val="32"/>
        </w:rPr>
        <w:t>三、项目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农村饮水安全经费</w:t>
      </w:r>
    </w:p>
    <w:p>
      <w:pPr>
        <w:snapToGrid w:val="0"/>
        <w:spacing w:line="560" w:lineRule="exact"/>
        <w:ind w:left="638" w:leftChars="304"/>
        <w:textAlignment w:val="baseline"/>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w:t>
      </w:r>
      <w:r>
        <w:rPr>
          <w:rFonts w:ascii="仿宋_GB2312" w:hAnsi="宋体" w:eastAsia="仿宋_GB2312" w:cs="宋体"/>
          <w:kern w:val="0"/>
          <w:sz w:val="32"/>
          <w:szCs w:val="32"/>
        </w:rPr>
        <w:t>农村饮用水安全卫生评价指标体系》</w:t>
      </w:r>
      <w:r>
        <w:rPr>
          <w:rFonts w:ascii="仿宋_GB2312" w:hAnsi="黑体" w:eastAsia="仿宋_GB2312"/>
          <w:sz w:val="32"/>
          <w:szCs w:val="32"/>
        </w:rPr>
        <w:t>预算安排规模</w:t>
      </w:r>
      <w:r>
        <w:rPr>
          <w:rFonts w:hint="eastAsia" w:ascii="仿宋_GB2312" w:hAnsi="黑体" w:eastAsia="仿宋_GB2312"/>
          <w:sz w:val="32"/>
          <w:szCs w:val="32"/>
        </w:rPr>
        <w:t>：1</w:t>
      </w:r>
      <w:r>
        <w:rPr>
          <w:rFonts w:hint="eastAsia" w:ascii="仿宋_GB2312" w:hAnsi="宋体" w:eastAsia="仿宋_GB2312" w:cs="宋体"/>
          <w:kern w:val="0"/>
          <w:sz w:val="32"/>
          <w:szCs w:val="32"/>
        </w:rPr>
        <w:t>0万元</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昌吉州水利局</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开展饮水安全检查指导预算</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w:t>
      </w:r>
    </w:p>
    <w:p>
      <w:pPr>
        <w:snapToGrid w:val="0"/>
        <w:spacing w:line="560" w:lineRule="exact"/>
        <w:ind w:firstLine="640" w:firstLineChars="200"/>
        <w:textAlignment w:val="baseline"/>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年1月1日至12月31日</w:t>
      </w:r>
    </w:p>
    <w:p>
      <w:pPr>
        <w:snapToGrid w:val="0"/>
        <w:spacing w:line="560" w:lineRule="exact"/>
        <w:ind w:left="640"/>
        <w:textAlignment w:val="baseline"/>
        <w:rPr>
          <w:rFonts w:ascii="仿宋_GB2312" w:hAnsi="宋体" w:eastAsia="仿宋_GB2312" w:cs="宋体"/>
          <w:kern w:val="0"/>
          <w:sz w:val="32"/>
          <w:szCs w:val="32"/>
        </w:rPr>
      </w:pPr>
      <w:r>
        <w:rPr>
          <w:rFonts w:hint="eastAsia" w:ascii="仿宋_GB2312" w:hAnsi="黑体" w:eastAsia="仿宋_GB2312"/>
          <w:sz w:val="32"/>
          <w:szCs w:val="32"/>
        </w:rPr>
        <w:t>四、项目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防讯抗旱工作经费</w:t>
      </w:r>
    </w:p>
    <w:p>
      <w:pPr>
        <w:snapToGrid w:val="0"/>
        <w:spacing w:line="560" w:lineRule="exact"/>
        <w:ind w:firstLine="640" w:firstLineChars="200"/>
        <w:textAlignment w:val="baseline"/>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《中华人民共和国防汛条例》</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w:t>
      </w:r>
      <w:r>
        <w:rPr>
          <w:rFonts w:hint="eastAsia" w:ascii="仿宋_GB2312" w:hAnsi="宋体" w:eastAsia="仿宋_GB2312" w:cs="宋体"/>
          <w:kern w:val="0"/>
          <w:sz w:val="32"/>
          <w:szCs w:val="32"/>
        </w:rPr>
        <w:t>0万元</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昌吉州水利局</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水旱灾害气象服务及其他技术委托性服务</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开展汛前安全检查并提供技术指导经费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万元，购买雨衣、雨鞋、应急灯、安全帽等储备物资费1万元。</w:t>
      </w:r>
    </w:p>
    <w:p>
      <w:pPr>
        <w:snapToGrid w:val="0"/>
        <w:spacing w:line="560" w:lineRule="exact"/>
        <w:ind w:firstLine="640" w:firstLineChars="200"/>
        <w:textAlignment w:val="baseline"/>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年1月1日至12月31日</w:t>
      </w:r>
    </w:p>
    <w:p>
      <w:pPr>
        <w:snapToGrid w:val="0"/>
        <w:spacing w:line="560" w:lineRule="exact"/>
        <w:ind w:left="640"/>
        <w:textAlignment w:val="baseline"/>
        <w:rPr>
          <w:rFonts w:ascii="仿宋_GB2312" w:hAnsi="宋体" w:eastAsia="仿宋_GB2312" w:cs="宋体"/>
          <w:kern w:val="0"/>
          <w:sz w:val="32"/>
          <w:szCs w:val="32"/>
        </w:rPr>
      </w:pPr>
      <w:r>
        <w:rPr>
          <w:rFonts w:hint="eastAsia" w:ascii="仿宋_GB2312" w:hAnsi="黑体" w:eastAsia="仿宋_GB2312"/>
          <w:sz w:val="32"/>
          <w:szCs w:val="32"/>
          <w:lang w:eastAsia="zh-CN"/>
        </w:rPr>
        <w:t>五</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落实昌吉州用水总量控制方案</w:t>
      </w:r>
      <w:r>
        <w:rPr>
          <w:rFonts w:hint="eastAsia" w:ascii="仿宋_GB2312" w:hAnsi="宋体" w:eastAsia="仿宋_GB2312" w:cs="宋体"/>
          <w:kern w:val="0"/>
          <w:sz w:val="32"/>
          <w:szCs w:val="32"/>
        </w:rPr>
        <w:t>经费</w:t>
      </w:r>
    </w:p>
    <w:p>
      <w:pPr>
        <w:snapToGrid w:val="0"/>
        <w:spacing w:line="560" w:lineRule="exact"/>
        <w:ind w:firstLine="640" w:firstLineChars="200"/>
        <w:textAlignment w:val="baseline"/>
        <w:rPr>
          <w:rFonts w:hint="default" w:ascii="仿宋_GB2312" w:hAnsi="黑体" w:eastAsia="仿宋_GB2312"/>
          <w:color w:val="FF0000"/>
          <w:sz w:val="32"/>
          <w:szCs w:val="32"/>
          <w:lang w:val="en-US"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《关于印发</w:t>
      </w:r>
      <w:r>
        <w:rPr>
          <w:rFonts w:hint="eastAsia" w:ascii="仿宋_GB2312" w:hAnsi="黑体" w:eastAsia="仿宋_GB2312"/>
          <w:color w:val="auto"/>
          <w:sz w:val="32"/>
          <w:szCs w:val="32"/>
          <w:lang w:val="en-US" w:eastAsia="zh-CN"/>
        </w:rPr>
        <w:t>&lt;昌吉州落实自治区用水总量控制工作方案(2021-2025年)&gt;的通知》（昌州政办发</w:t>
      </w:r>
      <w:r>
        <w:rPr>
          <w:rFonts w:hint="eastAsia" w:ascii="仿宋_GB2312" w:hAnsi="宋体" w:eastAsia="仿宋_GB2312" w:cs="宋体"/>
          <w:color w:val="auto"/>
          <w:kern w:val="0"/>
          <w:sz w:val="32"/>
          <w:szCs w:val="32"/>
        </w:rPr>
        <w:t>[20</w:t>
      </w:r>
      <w:r>
        <w:rPr>
          <w:rFonts w:hint="eastAsia" w:ascii="仿宋_GB2312" w:hAnsi="宋体" w:eastAsia="仿宋_GB2312" w:cs="宋体"/>
          <w:color w:val="auto"/>
          <w:kern w:val="0"/>
          <w:sz w:val="32"/>
          <w:szCs w:val="32"/>
          <w:lang w:val="en-US" w:eastAsia="zh-CN"/>
        </w:rPr>
        <w:t>21</w:t>
      </w:r>
      <w:r>
        <w:rPr>
          <w:rFonts w:hint="eastAsia" w:ascii="仿宋_GB2312" w:hAnsi="宋体" w:eastAsia="仿宋_GB2312" w:cs="宋体"/>
          <w:color w:val="auto"/>
          <w:kern w:val="0"/>
          <w:sz w:val="32"/>
          <w:szCs w:val="32"/>
        </w:rPr>
        <w:t>]</w:t>
      </w:r>
      <w:r>
        <w:rPr>
          <w:rFonts w:hint="eastAsia" w:ascii="仿宋_GB2312" w:hAnsi="黑体" w:eastAsia="仿宋_GB2312"/>
          <w:color w:val="auto"/>
          <w:sz w:val="32"/>
          <w:szCs w:val="32"/>
          <w:lang w:val="en-US" w:eastAsia="zh-CN"/>
        </w:rPr>
        <w:t>39号）</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w:t>
      </w:r>
      <w:r>
        <w:rPr>
          <w:rFonts w:hint="eastAsia" w:ascii="仿宋_GB2312" w:hAnsi="宋体" w:eastAsia="仿宋_GB2312" w:cs="宋体"/>
          <w:kern w:val="0"/>
          <w:sz w:val="32"/>
          <w:szCs w:val="32"/>
        </w:rPr>
        <w:t>0万元</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昌吉州水利局</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开展专题调研成本预算</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，监督检查成本</w:t>
      </w:r>
      <w:r>
        <w:rPr>
          <w:rFonts w:hint="eastAsia" w:ascii="仿宋_GB2312" w:hAnsi="宋体" w:eastAsia="仿宋_GB2312" w:cs="宋体"/>
          <w:kern w:val="0"/>
          <w:sz w:val="32"/>
          <w:szCs w:val="32"/>
          <w:lang w:val="en-US" w:eastAsia="zh-CN"/>
        </w:rPr>
        <w:t>5万元</w:t>
      </w:r>
      <w:r>
        <w:rPr>
          <w:rFonts w:hint="eastAsia" w:ascii="仿宋_GB2312" w:hAnsi="宋体" w:eastAsia="仿宋_GB2312" w:cs="宋体"/>
          <w:kern w:val="0"/>
          <w:sz w:val="32"/>
          <w:szCs w:val="32"/>
        </w:rPr>
        <w:t>。</w:t>
      </w:r>
    </w:p>
    <w:p>
      <w:pPr>
        <w:snapToGrid w:val="0"/>
        <w:spacing w:line="560" w:lineRule="exact"/>
        <w:ind w:left="640"/>
        <w:textAlignment w:val="baseline"/>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年1月1日至12月31日</w:t>
      </w:r>
    </w:p>
    <w:p>
      <w:pPr>
        <w:snapToGrid w:val="0"/>
        <w:spacing w:line="560" w:lineRule="exact"/>
        <w:ind w:left="640"/>
        <w:textAlignment w:val="baseline"/>
        <w:rPr>
          <w:rFonts w:hint="eastAsia" w:ascii="仿宋_GB2312" w:hAnsi="宋体" w:eastAsia="仿宋_GB2312" w:cs="宋体"/>
          <w:kern w:val="0"/>
          <w:sz w:val="32"/>
          <w:szCs w:val="32"/>
          <w:lang w:eastAsia="zh-CN"/>
        </w:rPr>
      </w:pPr>
      <w:r>
        <w:rPr>
          <w:rFonts w:hint="eastAsia" w:ascii="仿宋_GB2312" w:hAnsi="黑体" w:eastAsia="仿宋_GB2312"/>
          <w:sz w:val="32"/>
          <w:szCs w:val="32"/>
          <w:lang w:eastAsia="zh-CN"/>
        </w:rPr>
        <w:t>六</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最严格水资源管理制度考核经费</w:t>
      </w:r>
    </w:p>
    <w:p>
      <w:pPr>
        <w:snapToGrid w:val="0"/>
        <w:spacing w:line="560" w:lineRule="exact"/>
        <w:ind w:firstLine="640" w:firstLineChars="200"/>
        <w:textAlignment w:val="baseline"/>
        <w:rPr>
          <w:rFonts w:hint="eastAsia" w:ascii="仿宋_GB2312" w:hAnsi="黑体" w:eastAsia="仿宋_GB2312"/>
          <w:color w:val="auto"/>
          <w:sz w:val="32"/>
          <w:szCs w:val="32"/>
          <w:lang w:eastAsia="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《自治区全面推行河湖长制、最严格水资源管理制度及水土保持目标责任年度考核工作方案》</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w:t>
      </w:r>
      <w:r>
        <w:rPr>
          <w:rFonts w:hint="eastAsia" w:ascii="仿宋_GB2312" w:hAnsi="宋体" w:eastAsia="仿宋_GB2312" w:cs="宋体"/>
          <w:kern w:val="0"/>
          <w:sz w:val="32"/>
          <w:szCs w:val="32"/>
        </w:rPr>
        <w:t>0万元</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昌吉州水利局</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最严格水资源管理考核预算</w:t>
      </w:r>
      <w:r>
        <w:rPr>
          <w:rFonts w:hint="eastAsia" w:ascii="仿宋_GB2312" w:hAnsi="宋体" w:eastAsia="仿宋_GB2312" w:cs="宋体"/>
          <w:kern w:val="0"/>
          <w:sz w:val="32"/>
          <w:szCs w:val="32"/>
          <w:lang w:val="en-US" w:eastAsia="zh-CN"/>
        </w:rPr>
        <w:t>4万元，开展节水宣传成本1万元，督导检查及技术指导成本5万元</w:t>
      </w:r>
      <w:r>
        <w:rPr>
          <w:rFonts w:hint="eastAsia" w:ascii="仿宋_GB2312" w:hAnsi="宋体" w:eastAsia="仿宋_GB2312" w:cs="宋体"/>
          <w:kern w:val="0"/>
          <w:sz w:val="32"/>
          <w:szCs w:val="32"/>
        </w:rPr>
        <w:t>。</w:t>
      </w:r>
    </w:p>
    <w:p>
      <w:pPr>
        <w:snapToGrid w:val="0"/>
        <w:spacing w:line="560" w:lineRule="exact"/>
        <w:ind w:left="640"/>
        <w:textAlignment w:val="baseline"/>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年1月1日至12月31日</w:t>
      </w:r>
    </w:p>
    <w:p>
      <w:pPr>
        <w:snapToGrid w:val="0"/>
        <w:spacing w:line="560" w:lineRule="exact"/>
        <w:ind w:left="640"/>
        <w:textAlignment w:val="baseline"/>
        <w:rPr>
          <w:rFonts w:hint="eastAsia" w:ascii="仿宋_GB2312" w:hAnsi="宋体" w:eastAsia="仿宋_GB2312" w:cs="宋体"/>
          <w:kern w:val="0"/>
          <w:sz w:val="32"/>
          <w:szCs w:val="32"/>
          <w:lang w:eastAsia="zh-CN"/>
        </w:rPr>
      </w:pPr>
      <w:r>
        <w:rPr>
          <w:rFonts w:hint="eastAsia" w:ascii="仿宋_GB2312" w:hAnsi="黑体" w:eastAsia="仿宋_GB2312"/>
          <w:sz w:val="32"/>
          <w:szCs w:val="32"/>
        </w:rPr>
        <w:t>四、项目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网络安全保护</w:t>
      </w:r>
    </w:p>
    <w:p>
      <w:pPr>
        <w:snapToGrid w:val="0"/>
        <w:spacing w:line="560" w:lineRule="exact"/>
        <w:ind w:firstLine="640" w:firstLineChars="200"/>
        <w:textAlignment w:val="baseline"/>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设立的政策依据：水利部印发《关于大力推进智慧水利建设的指导意见》和《“十四五”期间推进智慧水利建设实施方案》</w:t>
      </w:r>
    </w:p>
    <w:p>
      <w:pPr>
        <w:snapToGrid w:val="0"/>
        <w:spacing w:line="560" w:lineRule="exact"/>
        <w:ind w:firstLine="640" w:firstLineChars="200"/>
        <w:textAlignment w:val="baseline"/>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预算安排规模：22万元</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昌吉州水利局</w:t>
      </w:r>
    </w:p>
    <w:p>
      <w:pPr>
        <w:snapToGrid w:val="0"/>
        <w:spacing w:line="560" w:lineRule="exact"/>
        <w:ind w:firstLine="640" w:firstLineChars="200"/>
        <w:textAlignment w:val="baseline"/>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lang w:val="en-US" w:eastAsia="zh-CN"/>
        </w:rPr>
        <w:t>:委托业务费预算7万元，设备维护10万元，开展网络安全检查5万元</w:t>
      </w:r>
      <w:r>
        <w:rPr>
          <w:rFonts w:hint="eastAsia" w:ascii="仿宋_GB2312" w:hAnsi="宋体" w:eastAsia="仿宋_GB2312" w:cs="宋体"/>
          <w:kern w:val="0"/>
          <w:sz w:val="32"/>
          <w:szCs w:val="32"/>
        </w:rPr>
        <w:t>。</w:t>
      </w:r>
    </w:p>
    <w:p>
      <w:pPr>
        <w:snapToGrid w:val="0"/>
        <w:spacing w:line="560" w:lineRule="exact"/>
        <w:ind w:firstLine="640" w:firstLineChars="200"/>
        <w:textAlignment w:val="baseline"/>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年1月1日至12月31日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昌吉州水利局</w:t>
      </w:r>
      <w:r>
        <w:rPr>
          <w:rFonts w:hint="eastAsia" w:ascii="楷体_GB2312" w:hAnsi="楷体_GB2312" w:eastAsia="楷体_GB2312" w:cs="楷体_GB2312"/>
          <w:b/>
          <w:bCs/>
          <w:kern w:val="0"/>
          <w:sz w:val="32"/>
          <w:szCs w:val="32"/>
        </w:rPr>
        <w:t>2022年一般公共预算“三公”经费预算情况说明</w:t>
      </w:r>
    </w:p>
    <w:p>
      <w:pPr>
        <w:snapToGrid w:val="0"/>
        <w:spacing w:line="560" w:lineRule="exact"/>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昌吉州水利局202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11.35</w:t>
      </w:r>
      <w:r>
        <w:rPr>
          <w:rFonts w:hint="eastAsia" w:ascii="仿宋_GB2312" w:hAnsi="宋体" w:eastAsia="仿宋_GB2312" w:cs="宋体"/>
          <w:kern w:val="0"/>
          <w:sz w:val="32"/>
          <w:szCs w:val="32"/>
        </w:rPr>
        <w:t>万元，其中：因公出国（境）费0万元，公务用车购置0万元，公务用车运行费10万元，公务接待费1.</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年一般公共预算“三公”经费比上年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减少0.</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下降1.3%，</w:t>
      </w:r>
      <w:r>
        <w:rPr>
          <w:rFonts w:hint="eastAsia" w:ascii="仿宋_GB2312" w:hAnsi="宋体" w:eastAsia="仿宋_GB2312" w:cs="宋体"/>
          <w:kern w:val="0"/>
          <w:sz w:val="32"/>
          <w:szCs w:val="32"/>
        </w:rPr>
        <w:t>其中：因公出国（境）费比上年</w:t>
      </w:r>
      <w:r>
        <w:rPr>
          <w:rFonts w:hint="eastAsia" w:ascii="仿宋_GB2312" w:hAnsi="宋体" w:eastAsia="仿宋_GB2312" w:cs="宋体"/>
          <w:kern w:val="0"/>
          <w:sz w:val="32"/>
          <w:szCs w:val="32"/>
          <w:lang w:val="en-US" w:eastAsia="zh-CN"/>
        </w:rPr>
        <w:t>预算增加</w:t>
      </w:r>
      <w:r>
        <w:rPr>
          <w:rFonts w:hint="eastAsia" w:ascii="仿宋_GB2312" w:hAnsi="宋体" w:eastAsia="仿宋_GB2312" w:cs="宋体"/>
          <w:kern w:val="0"/>
          <w:sz w:val="32"/>
          <w:szCs w:val="32"/>
        </w:rPr>
        <w:t>0万元，</w:t>
      </w:r>
      <w:r>
        <w:rPr>
          <w:rFonts w:hint="eastAsia" w:ascii="仿宋_GB2312" w:hAnsi="宋体" w:eastAsia="仿宋_GB2312" w:cs="宋体"/>
          <w:kern w:val="0"/>
          <w:sz w:val="32"/>
          <w:szCs w:val="32"/>
          <w:lang w:val="en-US" w:eastAsia="zh-CN"/>
        </w:rPr>
        <w:t>增长0%，主要原因是</w:t>
      </w:r>
      <w:r>
        <w:rPr>
          <w:rFonts w:hint="eastAsia" w:ascii="仿宋_GB2312" w:hAnsi="宋体" w:eastAsia="仿宋_GB2312" w:cs="宋体"/>
          <w:kern w:val="0"/>
          <w:sz w:val="32"/>
          <w:szCs w:val="32"/>
        </w:rPr>
        <w:t>未安排预算；公务用车购置费为0万元，比上年</w:t>
      </w:r>
      <w:r>
        <w:rPr>
          <w:rFonts w:hint="eastAsia" w:ascii="仿宋_GB2312" w:hAnsi="宋体" w:eastAsia="仿宋_GB2312" w:cs="宋体"/>
          <w:kern w:val="0"/>
          <w:sz w:val="32"/>
          <w:szCs w:val="32"/>
          <w:lang w:val="en-US" w:eastAsia="zh-CN"/>
        </w:rPr>
        <w:t>预算增加0万元，增长0%，主要原因是</w:t>
      </w:r>
      <w:r>
        <w:rPr>
          <w:rFonts w:hint="eastAsia" w:ascii="仿宋_GB2312" w:hAnsi="宋体" w:eastAsia="仿宋_GB2312" w:cs="宋体"/>
          <w:kern w:val="0"/>
          <w:sz w:val="32"/>
          <w:szCs w:val="32"/>
        </w:rPr>
        <w:t>未安排预算。公务用车运行费比上年</w:t>
      </w:r>
      <w:r>
        <w:rPr>
          <w:rFonts w:hint="eastAsia" w:ascii="仿宋_GB2312" w:hAnsi="宋体" w:eastAsia="仿宋_GB2312" w:cs="宋体"/>
          <w:kern w:val="0"/>
          <w:sz w:val="32"/>
          <w:szCs w:val="32"/>
          <w:lang w:val="en-US" w:eastAsia="zh-CN"/>
        </w:rPr>
        <w:t>预算增加0万元，增长0%，主要原因</w:t>
      </w:r>
      <w:r>
        <w:rPr>
          <w:rFonts w:ascii="仿宋_GB2312" w:hAnsi="宋体" w:eastAsia="仿宋_GB2312" w:cs="宋体"/>
          <w:kern w:val="0"/>
          <w:sz w:val="32"/>
          <w:szCs w:val="32"/>
        </w:rPr>
        <w:t>主要原因是我单位严格执行中央八项规定和自治区十条规定</w:t>
      </w:r>
      <w:r>
        <w:rPr>
          <w:rFonts w:hint="eastAsia" w:ascii="仿宋_GB2312" w:hAnsi="宋体" w:eastAsia="仿宋_GB2312" w:cs="宋体"/>
          <w:kern w:val="0"/>
          <w:sz w:val="32"/>
          <w:szCs w:val="32"/>
        </w:rPr>
        <w:t>；公务接待费比上年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减少0.</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下降10%，</w:t>
      </w:r>
      <w:r>
        <w:rPr>
          <w:rFonts w:hint="eastAsia" w:ascii="仿宋_GB2312" w:hAnsi="宋体" w:eastAsia="仿宋_GB2312" w:cs="宋体"/>
          <w:kern w:val="0"/>
          <w:sz w:val="32"/>
          <w:szCs w:val="32"/>
        </w:rPr>
        <w:t>主要原因是严格执行中央八项规定和自治区十条规定。</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昌吉州水利局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昌吉州水利局202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napToGrid w:val="0"/>
        <w:spacing w:line="560" w:lineRule="exact"/>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年，昌吉州水利局的机关运行经费财政拨款预算87.</w:t>
      </w:r>
      <w:r>
        <w:rPr>
          <w:rFonts w:hint="eastAsia" w:ascii="仿宋_GB2312" w:hAnsi="宋体" w:eastAsia="仿宋_GB2312" w:cs="宋体"/>
          <w:kern w:val="0"/>
          <w:sz w:val="32"/>
          <w:szCs w:val="32"/>
          <w:lang w:val="en-US" w:eastAsia="zh-CN"/>
        </w:rPr>
        <w:t>52</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0.32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0.36</w:t>
      </w:r>
      <w:r>
        <w:rPr>
          <w:rFonts w:hint="eastAsia" w:ascii="仿宋_GB2312" w:hAnsi="宋体" w:eastAsia="仿宋_GB2312" w:cs="宋体"/>
          <w:kern w:val="0"/>
          <w:sz w:val="32"/>
          <w:szCs w:val="32"/>
        </w:rPr>
        <w:t>%。主要原因是较上年</w:t>
      </w:r>
      <w:r>
        <w:rPr>
          <w:rFonts w:hint="eastAsia" w:ascii="仿宋_GB2312" w:hAnsi="宋体" w:eastAsia="仿宋_GB2312" w:cs="宋体"/>
          <w:kern w:val="0"/>
          <w:sz w:val="32"/>
          <w:szCs w:val="32"/>
          <w:lang w:eastAsia="zh-CN"/>
        </w:rPr>
        <w:t>三公经费减少</w:t>
      </w:r>
      <w:r>
        <w:rPr>
          <w:rFonts w:hint="eastAsia" w:ascii="仿宋_GB2312" w:hAnsi="宋体" w:eastAsia="仿宋_GB2312" w:cs="宋体"/>
          <w:kern w:val="0"/>
          <w:sz w:val="32"/>
          <w:szCs w:val="32"/>
        </w:rPr>
        <w:t>，机关运行经费预算</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年，昌吉州水利局政府采购预算</w:t>
      </w:r>
      <w:r>
        <w:rPr>
          <w:rFonts w:hint="eastAsia" w:ascii="仿宋_GB2312" w:hAnsi="宋体" w:eastAsia="仿宋_GB2312" w:cs="宋体"/>
          <w:color w:val="auto"/>
          <w:kern w:val="0"/>
          <w:sz w:val="32"/>
          <w:szCs w:val="32"/>
          <w:lang w:val="en-US" w:eastAsia="zh-CN"/>
        </w:rPr>
        <w:t>104.93</w:t>
      </w:r>
      <w:r>
        <w:rPr>
          <w:rFonts w:hint="eastAsia" w:ascii="仿宋_GB2312" w:hAnsi="宋体" w:eastAsia="仿宋_GB2312" w:cs="宋体"/>
          <w:color w:val="auto"/>
          <w:kern w:val="0"/>
          <w:sz w:val="32"/>
          <w:szCs w:val="32"/>
        </w:rPr>
        <w:t>万元，其中：政府采购货物预算</w:t>
      </w:r>
      <w:r>
        <w:rPr>
          <w:rFonts w:hint="eastAsia" w:ascii="仿宋_GB2312" w:hAnsi="宋体" w:eastAsia="仿宋_GB2312" w:cs="宋体"/>
          <w:color w:val="auto"/>
          <w:kern w:val="0"/>
          <w:sz w:val="32"/>
          <w:szCs w:val="32"/>
          <w:lang w:val="en-US" w:eastAsia="zh-CN"/>
        </w:rPr>
        <w:t>53.23</w:t>
      </w:r>
      <w:r>
        <w:rPr>
          <w:rFonts w:hint="eastAsia" w:ascii="仿宋_GB2312" w:hAnsi="宋体" w:eastAsia="仿宋_GB2312" w:cs="宋体"/>
          <w:color w:val="auto"/>
          <w:kern w:val="0"/>
          <w:sz w:val="32"/>
          <w:szCs w:val="32"/>
        </w:rPr>
        <w:t>万元，政府采购工程预算</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万元，政府采购服务预算</w:t>
      </w:r>
      <w:r>
        <w:rPr>
          <w:rFonts w:hint="eastAsia" w:ascii="仿宋_GB2312" w:hAnsi="宋体" w:eastAsia="仿宋_GB2312" w:cs="宋体"/>
          <w:color w:val="auto"/>
          <w:kern w:val="0"/>
          <w:sz w:val="32"/>
          <w:szCs w:val="32"/>
          <w:lang w:val="en-US" w:eastAsia="zh-CN"/>
        </w:rPr>
        <w:t>51.7</w:t>
      </w:r>
      <w:r>
        <w:rPr>
          <w:rFonts w:hint="eastAsia" w:ascii="仿宋_GB2312" w:hAnsi="宋体" w:eastAsia="仿宋_GB2312" w:cs="宋体"/>
          <w:color w:val="auto"/>
          <w:kern w:val="0"/>
          <w:sz w:val="32"/>
          <w:szCs w:val="32"/>
        </w:rPr>
        <w:t>万元。</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仿宋_GB2312" w:eastAsia="仿宋_GB2312"/>
          <w:color w:val="auto"/>
          <w:sz w:val="32"/>
        </w:rPr>
        <w:t>202</w:t>
      </w:r>
      <w:r>
        <w:rPr>
          <w:rFonts w:hint="eastAsia" w:ascii="仿宋_GB2312" w:hAnsi="仿宋_GB2312" w:eastAsia="仿宋_GB2312"/>
          <w:color w:val="auto"/>
          <w:sz w:val="32"/>
          <w:lang w:val="en-US" w:eastAsia="zh-CN"/>
        </w:rPr>
        <w:t>2</w:t>
      </w:r>
      <w:r>
        <w:rPr>
          <w:rFonts w:hint="eastAsia" w:ascii="仿宋_GB2312" w:hAnsi="仿宋_GB2312" w:eastAsia="仿宋_GB2312"/>
          <w:color w:val="auto"/>
          <w:sz w:val="32"/>
        </w:rPr>
        <w:t>年度本部门面向中小企业预留政府采购项目预算金额</w:t>
      </w:r>
      <w:r>
        <w:rPr>
          <w:rFonts w:hint="eastAsia" w:ascii="仿宋_GB2312" w:hAnsi="仿宋_GB2312" w:eastAsia="仿宋_GB2312"/>
          <w:color w:val="auto"/>
          <w:sz w:val="32"/>
          <w:lang w:val="en-US" w:eastAsia="zh-CN"/>
        </w:rPr>
        <w:t>104.93</w:t>
      </w:r>
      <w:r>
        <w:rPr>
          <w:rFonts w:hint="eastAsia" w:ascii="仿宋_GB2312" w:hAnsi="仿宋_GB2312" w:eastAsia="仿宋_GB2312"/>
          <w:color w:val="auto"/>
          <w:sz w:val="32"/>
        </w:rPr>
        <w:t>万元，其中：面向小微企业预留政府采购项目预算金额</w:t>
      </w:r>
      <w:r>
        <w:rPr>
          <w:rFonts w:hint="eastAsia" w:ascii="仿宋_GB2312" w:hAnsi="仿宋_GB2312" w:eastAsia="仿宋_GB2312"/>
          <w:color w:val="auto"/>
          <w:sz w:val="32"/>
          <w:lang w:val="en-US" w:eastAsia="zh-CN"/>
        </w:rPr>
        <w:t>104.93</w:t>
      </w:r>
      <w:r>
        <w:rPr>
          <w:rFonts w:hint="eastAsia" w:ascii="仿宋_GB2312" w:hAnsi="仿宋_GB2312" w:eastAsia="仿宋_GB2312"/>
          <w:color w:val="auto"/>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截至202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年底，昌吉州水利局占用使用国有资产总体情况为</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1.房屋4127.96平方米，价值</w:t>
      </w:r>
      <w:r>
        <w:rPr>
          <w:rFonts w:hint="eastAsia" w:ascii="仿宋_GB2312" w:hAnsi="宋体" w:eastAsia="仿宋_GB2312" w:cs="宋体"/>
          <w:color w:val="auto"/>
          <w:kern w:val="0"/>
          <w:sz w:val="32"/>
          <w:szCs w:val="32"/>
          <w:lang w:val="en-US" w:eastAsia="zh-CN"/>
        </w:rPr>
        <w:t>309.58</w:t>
      </w:r>
      <w:r>
        <w:rPr>
          <w:rFonts w:hint="eastAsia" w:ascii="仿宋_GB2312" w:hAnsi="宋体" w:eastAsia="仿宋_GB2312" w:cs="宋体"/>
          <w:color w:val="auto"/>
          <w:kern w:val="0"/>
          <w:sz w:val="32"/>
          <w:szCs w:val="32"/>
        </w:rPr>
        <w:t>万元。</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xml:space="preserve">2.车辆6辆，价值 </w:t>
      </w:r>
      <w:r>
        <w:rPr>
          <w:rFonts w:hint="eastAsia" w:ascii="仿宋_GB2312" w:hAnsi="宋体" w:eastAsia="仿宋_GB2312" w:cs="宋体"/>
          <w:color w:val="auto"/>
          <w:kern w:val="0"/>
          <w:sz w:val="32"/>
          <w:szCs w:val="32"/>
          <w:lang w:val="en-US" w:eastAsia="zh-CN"/>
        </w:rPr>
        <w:t>213.36</w:t>
      </w:r>
      <w:r>
        <w:rPr>
          <w:rFonts w:hint="eastAsia" w:ascii="仿宋_GB2312" w:hAnsi="宋体" w:eastAsia="仿宋_GB2312" w:cs="宋体"/>
          <w:color w:val="auto"/>
          <w:kern w:val="0"/>
          <w:sz w:val="32"/>
          <w:szCs w:val="32"/>
        </w:rPr>
        <w:t>万元；其中：一般公务用车 6 辆，价值</w:t>
      </w:r>
      <w:r>
        <w:rPr>
          <w:rFonts w:hint="eastAsia" w:ascii="仿宋_GB2312" w:hAnsi="宋体" w:eastAsia="仿宋_GB2312" w:cs="宋体"/>
          <w:color w:val="auto"/>
          <w:kern w:val="0"/>
          <w:sz w:val="32"/>
          <w:szCs w:val="32"/>
          <w:lang w:val="en-US" w:eastAsia="zh-CN"/>
        </w:rPr>
        <w:t>213.36</w:t>
      </w:r>
      <w:r>
        <w:rPr>
          <w:rFonts w:hint="eastAsia" w:ascii="仿宋_GB2312" w:hAnsi="宋体" w:eastAsia="仿宋_GB2312" w:cs="宋体"/>
          <w:color w:val="auto"/>
          <w:kern w:val="0"/>
          <w:sz w:val="32"/>
          <w:szCs w:val="32"/>
        </w:rPr>
        <w:t>万元；执法执勤用车 0 辆，价值 0万元；其他车辆0 辆，价值 0 万元。</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xml:space="preserve">3.办公家具价值 </w:t>
      </w:r>
      <w:r>
        <w:rPr>
          <w:rFonts w:hint="eastAsia" w:ascii="仿宋_GB2312" w:hAnsi="宋体" w:eastAsia="仿宋_GB2312" w:cs="宋体"/>
          <w:color w:val="auto"/>
          <w:kern w:val="0"/>
          <w:sz w:val="32"/>
          <w:szCs w:val="32"/>
          <w:lang w:val="en-US" w:eastAsia="zh-CN"/>
        </w:rPr>
        <w:t>58.19</w:t>
      </w:r>
      <w:r>
        <w:rPr>
          <w:rFonts w:hint="eastAsia" w:ascii="仿宋_GB2312" w:hAnsi="宋体" w:eastAsia="仿宋_GB2312" w:cs="宋体"/>
          <w:color w:val="auto"/>
          <w:kern w:val="0"/>
          <w:sz w:val="32"/>
          <w:szCs w:val="32"/>
        </w:rPr>
        <w:t>万元。</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4.其他资产价值</w:t>
      </w:r>
      <w:r>
        <w:rPr>
          <w:rFonts w:hint="eastAsia" w:ascii="仿宋_GB2312" w:hAnsi="宋体" w:eastAsia="仿宋_GB2312" w:cs="宋体"/>
          <w:color w:val="auto"/>
          <w:kern w:val="0"/>
          <w:sz w:val="32"/>
          <w:szCs w:val="32"/>
          <w:lang w:val="en-US" w:eastAsia="zh-CN"/>
        </w:rPr>
        <w:t>1460.34</w:t>
      </w:r>
      <w:r>
        <w:rPr>
          <w:rFonts w:hint="eastAsia" w:ascii="仿宋_GB2312" w:hAnsi="宋体" w:eastAsia="仿宋_GB2312" w:cs="宋体"/>
          <w:color w:val="auto"/>
          <w:kern w:val="0"/>
          <w:sz w:val="32"/>
          <w:szCs w:val="32"/>
        </w:rPr>
        <w:t>万元。</w:t>
      </w:r>
    </w:p>
    <w:p>
      <w:pPr>
        <w:snapToGrid w:val="0"/>
        <w:spacing w:line="560" w:lineRule="exact"/>
        <w:ind w:firstLine="640" w:firstLineChars="200"/>
        <w:textAlignment w:val="baseline"/>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单位价值50万元以上大型设备0台（套），单位价值100万元以上大型设备</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年昌吉州水利局部门预算未安排购置车辆经费，安排购置50万元以上大型设备0台（套），单位价值100万元以上大型设备</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napToGrid w:val="0"/>
        <w:spacing w:line="560" w:lineRule="exact"/>
        <w:ind w:firstLine="640" w:firstLineChars="200"/>
        <w:textAlignment w:val="baseline"/>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年度，本年度实行绩效管理的一般公共预算项目</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122</w:t>
      </w:r>
      <w:r>
        <w:rPr>
          <w:rFonts w:hint="eastAsia" w:ascii="仿宋_GB2312" w:hAnsi="宋体" w:eastAsia="仿宋_GB2312" w:cs="宋体"/>
          <w:kern w:val="0"/>
          <w:sz w:val="32"/>
          <w:szCs w:val="32"/>
        </w:rPr>
        <w:t>万元。具体情况见下表（按项目分别填报）：</w:t>
      </w:r>
    </w:p>
    <w:tbl>
      <w:tblPr>
        <w:tblStyle w:val="7"/>
        <w:tblW w:w="83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58"/>
        <w:gridCol w:w="140"/>
        <w:gridCol w:w="618"/>
        <w:gridCol w:w="524"/>
        <w:gridCol w:w="235"/>
        <w:gridCol w:w="308"/>
        <w:gridCol w:w="449"/>
        <w:gridCol w:w="129"/>
        <w:gridCol w:w="1272"/>
        <w:gridCol w:w="116"/>
        <w:gridCol w:w="491"/>
        <w:gridCol w:w="56"/>
        <w:gridCol w:w="212"/>
        <w:gridCol w:w="758"/>
        <w:gridCol w:w="244"/>
        <w:gridCol w:w="515"/>
        <w:gridCol w:w="1475"/>
        <w:gridCol w:w="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656" w:hRule="atLeast"/>
        </w:trPr>
        <w:tc>
          <w:tcPr>
            <w:tcW w:w="8300" w:type="dxa"/>
            <w:gridSpan w:val="17"/>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554" w:hRule="atLeast"/>
        </w:trPr>
        <w:tc>
          <w:tcPr>
            <w:tcW w:w="8300" w:type="dxa"/>
            <w:gridSpan w:val="17"/>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576" w:hRule="atLeast"/>
        </w:trPr>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35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昌吉回族自治州水利局本级</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32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河湖长制工作经费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577" w:hRule="atLeast"/>
        </w:trPr>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6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6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18"/>
                <w:szCs w:val="18"/>
                <w:u w:val="none"/>
                <w:lang w:val="en-US" w:eastAsia="zh-CN" w:bidi="ar"/>
              </w:rPr>
              <w:t>其他资金</w:t>
            </w:r>
          </w:p>
        </w:tc>
        <w:tc>
          <w:tcPr>
            <w:tcW w:w="1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868" w:hRule="atLeast"/>
        </w:trPr>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7402" w:type="dxa"/>
            <w:gridSpan w:val="1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全年督导县市河湖考察天数不少于14天，环保宣传材料印刷不少于500份，开展培训场次不少于2次，完成生态水量监测断面建设不少于4条。目标2：改善全州河湖生态环境，持续改善河湖生态环境，维护河湖生态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80" w:hRule="atLeast"/>
        </w:trPr>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督导考察天数</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&gt;=14天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环保宣传材料印刷数</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&gt;=500份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开展培训场次</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生态水量监测断面建设数量</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&gt;=4条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组织培训人次</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&gt;=30人次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监督检查覆盖率</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工程验收合格率</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工程完工及时率</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培训成本</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宣传材料印刷成本</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&lt;=0.5万元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督导考察成本</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353"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生态水量监测断面建设成本</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&lt;=40万元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481" w:hRule="atLeast"/>
        </w:trPr>
        <w:tc>
          <w:tcPr>
            <w:tcW w:w="89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改善全州河湖生态环境</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改善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659" w:hRule="atLeast"/>
        </w:trPr>
        <w:tc>
          <w:tcPr>
            <w:tcW w:w="89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持续改善全州河湖生态环境，维护河湖生态安全。</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40" w:type="dxa"/>
          <w:trHeight w:val="676" w:hRule="atLeast"/>
        </w:trPr>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3056"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培训学员满意度</w:t>
            </w:r>
          </w:p>
        </w:tc>
        <w:tc>
          <w:tcPr>
            <w:tcW w:w="32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5" w:hRule="atLeast"/>
        </w:trPr>
        <w:tc>
          <w:tcPr>
            <w:tcW w:w="8340" w:type="dxa"/>
            <w:gridSpan w:val="1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5" w:hRule="atLeast"/>
        </w:trPr>
        <w:tc>
          <w:tcPr>
            <w:tcW w:w="8340" w:type="dxa"/>
            <w:gridSpan w:val="18"/>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0"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379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昌吉回族自治州水利局本级</w:t>
            </w:r>
          </w:p>
        </w:tc>
        <w:tc>
          <w:tcPr>
            <w:tcW w:w="7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30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农村饮水安全经费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19"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5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7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7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0"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7582" w:type="dxa"/>
            <w:gridSpan w:val="17"/>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目标1：调研走访县市不少于4个，走访入户不少于100户，饮水安全排查工作完成不少于7次。目标2：保障农村用水户供水正常运行，持续提升农村供水保障水平。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0"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0"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饮水安全排查工作完成数量</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&gt;=7次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饮水安全走访入户数</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调研走访县市数量</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&gt;=4个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农村用水水质达标率</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农村供水保障率</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走访调研完成及时率</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农村供水及时率</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农村饮水入户检查成本</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0"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调研走访县市成本</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0"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保障农村用水户供水正常运行</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19"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持续提升农村供水保障水平</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550"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农村用水户使用满意度</w:t>
            </w:r>
          </w:p>
        </w:tc>
        <w:tc>
          <w:tcPr>
            <w:tcW w:w="22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jc w:val="left"/>
        <w:textAlignment w:val="baseline"/>
        <w:rPr>
          <w:rFonts w:hint="eastAsia" w:ascii="楷体_GB2312" w:hAnsi="宋体" w:eastAsia="楷体_GB2312" w:cs="宋体"/>
          <w:b/>
          <w:kern w:val="0"/>
          <w:sz w:val="32"/>
          <w:szCs w:val="32"/>
        </w:rPr>
      </w:pPr>
    </w:p>
    <w:tbl>
      <w:tblPr>
        <w:tblStyle w:val="7"/>
        <w:tblW w:w="83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53"/>
        <w:gridCol w:w="753"/>
        <w:gridCol w:w="757"/>
        <w:gridCol w:w="753"/>
        <w:gridCol w:w="1511"/>
        <w:gridCol w:w="756"/>
        <w:gridCol w:w="753"/>
        <w:gridCol w:w="757"/>
        <w:gridCol w:w="15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trPr>
        <w:tc>
          <w:tcPr>
            <w:tcW w:w="8300" w:type="dxa"/>
            <w:gridSpan w:val="9"/>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5" w:hRule="atLeast"/>
        </w:trPr>
        <w:tc>
          <w:tcPr>
            <w:tcW w:w="8300" w:type="dxa"/>
            <w:gridSpan w:val="9"/>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5"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3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昌吉回族自治州水利局本级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3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水政执法工作经费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6"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6"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7547"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目标1：全年水行政执法检查次数不少于12次，聘请法律顾问1名，案件结案率不低于90%。目标2：降低生态环境和资源保护破坏事件发生，持续提升水行政执法能力。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6"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5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5" w:hRule="atLeast"/>
        </w:trPr>
        <w:tc>
          <w:tcPr>
            <w:tcW w:w="7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53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水政执法检查次数</w:t>
            </w:r>
          </w:p>
        </w:tc>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5" w:hRule="atLeast"/>
        </w:trPr>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53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聘请法律顾问</w:t>
            </w:r>
          </w:p>
        </w:tc>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5" w:hRule="atLeast"/>
        </w:trPr>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53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审限结案率</w:t>
            </w:r>
          </w:p>
        </w:tc>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5" w:hRule="atLeast"/>
        </w:trPr>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53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案件结案率</w:t>
            </w:r>
          </w:p>
        </w:tc>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5" w:hRule="atLeast"/>
        </w:trPr>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53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水行政执法办案及时率</w:t>
            </w:r>
          </w:p>
        </w:tc>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5" w:hRule="atLeast"/>
        </w:trPr>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53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水行政执法检查成本</w:t>
            </w:r>
          </w:p>
        </w:tc>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5" w:hRule="atLeast"/>
        </w:trPr>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53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聘请法律顾问成本</w:t>
            </w:r>
          </w:p>
        </w:tc>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6" w:hRule="atLeast"/>
        </w:trPr>
        <w:tc>
          <w:tcPr>
            <w:tcW w:w="7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453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重大生态环境和资源保护破坏事件发生降低率</w:t>
            </w:r>
          </w:p>
        </w:tc>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降低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6" w:hRule="atLeast"/>
        </w:trPr>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53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持续提升水行政执法能力</w:t>
            </w:r>
          </w:p>
        </w:tc>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7"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53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用水户满意度</w:t>
            </w:r>
          </w:p>
        </w:tc>
        <w:tc>
          <w:tcPr>
            <w:tcW w:w="22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jc w:val="left"/>
        <w:textAlignment w:val="baseline"/>
        <w:rPr>
          <w:rFonts w:hint="eastAsia" w:ascii="楷体_GB2312" w:hAnsi="宋体" w:eastAsia="楷体_GB2312" w:cs="宋体"/>
          <w:b/>
          <w:kern w:val="0"/>
          <w:sz w:val="32"/>
          <w:szCs w:val="32"/>
        </w:rPr>
      </w:pPr>
    </w:p>
    <w:tbl>
      <w:tblPr>
        <w:tblStyle w:val="7"/>
        <w:tblW w:w="83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56"/>
        <w:gridCol w:w="756"/>
        <w:gridCol w:w="757"/>
        <w:gridCol w:w="755"/>
        <w:gridCol w:w="1515"/>
        <w:gridCol w:w="756"/>
        <w:gridCol w:w="756"/>
        <w:gridCol w:w="757"/>
        <w:gridCol w:w="15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1" w:hRule="atLeast"/>
        </w:trPr>
        <w:tc>
          <w:tcPr>
            <w:tcW w:w="8320" w:type="dxa"/>
            <w:gridSpan w:val="9"/>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1" w:hRule="atLeast"/>
        </w:trPr>
        <w:tc>
          <w:tcPr>
            <w:tcW w:w="8320" w:type="dxa"/>
            <w:gridSpan w:val="9"/>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37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昌吉回族自治州水利局本级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3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防汛抗旱工作经费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7564"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目标1：委托水旱灾害气象服务及其技术服务不少于4次，指导</w:t>
            </w:r>
            <w:r>
              <w:rPr>
                <w:rFonts w:hint="eastAsia" w:ascii="宋体" w:hAnsi="宋体" w:cs="宋体"/>
                <w:i w:val="0"/>
                <w:color w:val="000000"/>
                <w:kern w:val="0"/>
                <w:sz w:val="18"/>
                <w:szCs w:val="18"/>
                <w:u w:val="none"/>
                <w:lang w:val="en-US" w:eastAsia="zh-CN" w:bidi="ar"/>
              </w:rPr>
              <w:t>度汛</w:t>
            </w:r>
            <w:r>
              <w:rPr>
                <w:rFonts w:hint="eastAsia" w:ascii="宋体" w:hAnsi="宋体" w:eastAsia="宋体" w:cs="宋体"/>
                <w:i w:val="0"/>
                <w:color w:val="000000"/>
                <w:kern w:val="0"/>
                <w:sz w:val="18"/>
                <w:szCs w:val="18"/>
                <w:u w:val="none"/>
                <w:lang w:val="en-US" w:eastAsia="zh-CN" w:bidi="ar"/>
              </w:rPr>
              <w:t>安全检查不少于2次，采购防汛抗旱救灾装备物资次数不少于1次。目标2：提高防汛抗旱救灾应急抢险能力。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委托水旱灾害气象服务及其他技术服务</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度汛</w:t>
            </w:r>
            <w:r>
              <w:rPr>
                <w:rFonts w:hint="eastAsia" w:ascii="宋体" w:hAnsi="宋体" w:eastAsia="宋体" w:cs="宋体"/>
                <w:i w:val="0"/>
                <w:color w:val="000000"/>
                <w:kern w:val="0"/>
                <w:sz w:val="18"/>
                <w:szCs w:val="18"/>
                <w:u w:val="none"/>
                <w:lang w:val="en-US" w:eastAsia="zh-CN" w:bidi="ar"/>
              </w:rPr>
              <w:t>安全检查及技术指导</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采购防汛抗旱救灾装备物资次数</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水旱灾害气象服务及其他技术委托性服务及时率</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隐患整改率</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物资储备更新率</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气象服务提供及时率</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防汛抗旱物资采购及时率</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各项任务完成时限</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委托水旱灾害气象服务及其他技术服务成本</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度汛</w:t>
            </w:r>
            <w:r>
              <w:rPr>
                <w:rFonts w:hint="eastAsia" w:ascii="宋体" w:hAnsi="宋体" w:eastAsia="宋体" w:cs="宋体"/>
                <w:i w:val="0"/>
                <w:color w:val="000000"/>
                <w:kern w:val="0"/>
                <w:sz w:val="18"/>
                <w:szCs w:val="18"/>
                <w:u w:val="none"/>
                <w:lang w:val="en-US" w:eastAsia="zh-CN" w:bidi="ar"/>
              </w:rPr>
              <w:t>安全检查及技术指导成本</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采购防汛抗旱救灾装备物资成本</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3"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提高防汛抗旱应急抢险能力</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持续提升防汛防汛应急抢险能力</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9"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53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公众满意度</w:t>
            </w:r>
          </w:p>
        </w:tc>
        <w:tc>
          <w:tcPr>
            <w:tcW w:w="22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tbl>
      <w:tblPr>
        <w:tblStyle w:val="7"/>
        <w:tblpPr w:leftFromText="180" w:rightFromText="180" w:vertAnchor="text" w:horzAnchor="page" w:tblpX="1796" w:tblpY="189"/>
        <w:tblOverlap w:val="never"/>
        <w:tblW w:w="83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58"/>
        <w:gridCol w:w="755"/>
        <w:gridCol w:w="754"/>
        <w:gridCol w:w="755"/>
        <w:gridCol w:w="1510"/>
        <w:gridCol w:w="754"/>
        <w:gridCol w:w="418"/>
        <w:gridCol w:w="1089"/>
        <w:gridCol w:w="15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5" w:hRule="atLeast"/>
        </w:trPr>
        <w:tc>
          <w:tcPr>
            <w:tcW w:w="8300" w:type="dxa"/>
            <w:gridSpan w:val="9"/>
            <w:shd w:val="clear" w:color="auto" w:fill="auto"/>
            <w:vAlign w:val="center"/>
          </w:tcPr>
          <w:p>
            <w:pPr>
              <w:keepNext w:val="0"/>
              <w:keepLines w:val="0"/>
              <w:widowControl/>
              <w:suppressLineNumbers w:val="0"/>
              <w:jc w:val="both"/>
              <w:textAlignment w:val="center"/>
              <w:rPr>
                <w:rFonts w:hint="eastAsia" w:ascii="宋体" w:hAnsi="宋体" w:eastAsia="宋体" w:cs="宋体"/>
                <w:b/>
                <w:i w:val="0"/>
                <w:color w:val="000000"/>
                <w:sz w:val="32"/>
                <w:szCs w:val="32"/>
                <w:u w:val="none"/>
              </w:rPr>
            </w:pPr>
            <w:r>
              <w:rPr>
                <w:rFonts w:hint="eastAsia" w:ascii="宋体" w:hAnsi="宋体" w:cs="宋体"/>
                <w:b/>
                <w:i w:val="0"/>
                <w:color w:val="000000"/>
                <w:kern w:val="0"/>
                <w:sz w:val="32"/>
                <w:szCs w:val="32"/>
                <w:u w:val="none"/>
                <w:lang w:val="en-US" w:eastAsia="zh-CN" w:bidi="ar"/>
              </w:rPr>
              <w:t xml:space="preserve">         </w:t>
            </w:r>
            <w:r>
              <w:rPr>
                <w:rFonts w:hint="eastAsia" w:ascii="宋体" w:hAnsi="宋体" w:eastAsia="宋体" w:cs="宋体"/>
                <w:b/>
                <w:i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5" w:hRule="atLeast"/>
        </w:trPr>
        <w:tc>
          <w:tcPr>
            <w:tcW w:w="8300" w:type="dxa"/>
            <w:gridSpan w:val="9"/>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2"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3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昌吉回族自治州水利局本级</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3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昌吉最严格水资源管理制度考核经费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5"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5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7542"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目标1：全年开展落实最严格水资源管理考核次数不少于1次，督导检查及技术指导次数不少于8次，开展政策法规、节水宣传活动次数不少于6次。目标2：保障经济社会与水资源协调发展，提升水资源利用率。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2"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1"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开展落实最严格水资源管理考核次数</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督导检查及技术指导次数</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开展政策法规、节水宣传活动次数</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&gt;=6次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最严格水资源管理考核合格率</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内业资料上报情况完成率</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县市水资源宣传覆盖率</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最严格水资源管理考核及时率</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工作完成时限</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最严格水资源管理考核成本</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开展政策法规、节水宣传成本</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督导检查及技术指导成本</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5" w:hRule="atLeast"/>
        </w:trPr>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保障经济社会与水资源协调发展</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5" w:hRule="atLeast"/>
        </w:trPr>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提升水资源利用率</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1"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19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考核对象满意度</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widowControl/>
        <w:snapToGrid w:val="0"/>
        <w:spacing w:line="480" w:lineRule="exact"/>
        <w:jc w:val="left"/>
        <w:textAlignment w:val="baseline"/>
        <w:rPr>
          <w:rFonts w:hint="eastAsia" w:ascii="楷体_GB2312" w:hAnsi="宋体" w:eastAsia="楷体_GB2312" w:cs="宋体"/>
          <w:b/>
          <w:kern w:val="0"/>
          <w:sz w:val="32"/>
          <w:szCs w:val="32"/>
        </w:rPr>
      </w:pPr>
    </w:p>
    <w:p>
      <w:pPr>
        <w:widowControl/>
        <w:snapToGrid w:val="0"/>
        <w:spacing w:line="480" w:lineRule="exact"/>
        <w:jc w:val="left"/>
        <w:textAlignment w:val="baseline"/>
        <w:rPr>
          <w:rFonts w:hint="eastAsia" w:ascii="楷体_GB2312" w:hAnsi="宋体" w:eastAsia="楷体_GB2312" w:cs="宋体"/>
          <w:b/>
          <w:kern w:val="0"/>
          <w:sz w:val="32"/>
          <w:szCs w:val="32"/>
        </w:rPr>
      </w:pPr>
    </w:p>
    <w:tbl>
      <w:tblPr>
        <w:tblStyle w:val="7"/>
        <w:tblW w:w="8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69"/>
        <w:gridCol w:w="766"/>
        <w:gridCol w:w="765"/>
        <w:gridCol w:w="766"/>
        <w:gridCol w:w="1531"/>
        <w:gridCol w:w="766"/>
        <w:gridCol w:w="381"/>
        <w:gridCol w:w="1147"/>
        <w:gridCol w:w="15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atLeast"/>
        </w:trPr>
        <w:tc>
          <w:tcPr>
            <w:tcW w:w="8420" w:type="dxa"/>
            <w:gridSpan w:val="9"/>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9" w:hRule="atLeast"/>
        </w:trPr>
        <w:tc>
          <w:tcPr>
            <w:tcW w:w="8420" w:type="dxa"/>
            <w:gridSpan w:val="9"/>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2"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38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昌吉回族自治州水利局本级</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30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落实昌吉州用水总量控制方案经费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5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7651"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目标1：开展落实用水总量控制专题调研次数不少于6次，开展监督检查次数不少于12次，指导县市完成水量分配方案次数不少于7次。目标2：优化全州水资源配置，提高管理水平，提升水资源持续利用率。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2"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4" w:hRule="atLeast"/>
        </w:trPr>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开展落实用水总量控制专题调研次数</w:t>
            </w:r>
          </w:p>
        </w:tc>
        <w:tc>
          <w:tcPr>
            <w:tcW w:w="2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&gt;=6次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4" w:hRule="atLeast"/>
        </w:trPr>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开展监督检查次数</w:t>
            </w:r>
          </w:p>
        </w:tc>
        <w:tc>
          <w:tcPr>
            <w:tcW w:w="2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4" w:hRule="atLeast"/>
        </w:trPr>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指导县市完成水量分配方案次数</w:t>
            </w:r>
          </w:p>
        </w:tc>
        <w:tc>
          <w:tcPr>
            <w:tcW w:w="2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&gt;=7次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4" w:hRule="atLeast"/>
        </w:trPr>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用水总量控制达标率</w:t>
            </w:r>
          </w:p>
        </w:tc>
        <w:tc>
          <w:tcPr>
            <w:tcW w:w="2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4" w:hRule="atLeast"/>
        </w:trPr>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工作指导覆盖率</w:t>
            </w:r>
          </w:p>
        </w:tc>
        <w:tc>
          <w:tcPr>
            <w:tcW w:w="2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4" w:hRule="atLeast"/>
        </w:trPr>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落实用水总量控制专题调研成本</w:t>
            </w:r>
          </w:p>
        </w:tc>
        <w:tc>
          <w:tcPr>
            <w:tcW w:w="2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4" w:hRule="atLeast"/>
        </w:trPr>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监督检查成本</w:t>
            </w:r>
          </w:p>
        </w:tc>
        <w:tc>
          <w:tcPr>
            <w:tcW w:w="2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优化全州水资源配置，提高管理水平</w:t>
            </w:r>
          </w:p>
        </w:tc>
        <w:tc>
          <w:tcPr>
            <w:tcW w:w="2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得到优化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水资源可持续利用率提升</w:t>
            </w:r>
          </w:p>
        </w:tc>
        <w:tc>
          <w:tcPr>
            <w:tcW w:w="2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5"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县市水利工作者满意度</w:t>
            </w:r>
          </w:p>
        </w:tc>
        <w:tc>
          <w:tcPr>
            <w:tcW w:w="2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tbl>
      <w:tblPr>
        <w:tblStyle w:val="7"/>
        <w:tblW w:w="8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62"/>
        <w:gridCol w:w="759"/>
        <w:gridCol w:w="760"/>
        <w:gridCol w:w="759"/>
        <w:gridCol w:w="1521"/>
        <w:gridCol w:w="760"/>
        <w:gridCol w:w="570"/>
        <w:gridCol w:w="950"/>
        <w:gridCol w:w="15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1" w:hRule="atLeast"/>
        </w:trPr>
        <w:tc>
          <w:tcPr>
            <w:tcW w:w="8360" w:type="dxa"/>
            <w:gridSpan w:val="9"/>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1" w:hRule="atLeast"/>
        </w:trPr>
        <w:tc>
          <w:tcPr>
            <w:tcW w:w="8360" w:type="dxa"/>
            <w:gridSpan w:val="9"/>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2"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37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昌吉回族自治州水利局本级</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30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网络安全保护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4"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5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1"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7598"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目标1、委托第三方对网络及视频维护提供技术支撑单位不少于1个，维护设备次数不少于12次，指导县市开展网络安全检查次数不少于12次。目标2：提升水利信息化工作水平，保证水利信息网络安全。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2"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2" w:hRule="atLeast"/>
        </w:trPr>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委托第三方网络及视频维护技术支撑单位</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2"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维护设备次数</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2"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指导县市开展网络安全检查</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2"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网络及视频通畅率</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2"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设备正常运行率</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2"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网络维护及时率</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2"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项目完成时限</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2"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委托业务费</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2"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设备维护费</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2"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开展网络安全检查费</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4" w:hRule="atLeast"/>
        </w:trPr>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提升水利信息化工作水平（%）</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4" w:hRule="atLeast"/>
        </w:trPr>
        <w:tc>
          <w:tcPr>
            <w:tcW w:w="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持续促进水利信息化水利（%）</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8"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37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信息网络使用人员满意度</w:t>
            </w:r>
          </w:p>
        </w:tc>
        <w:tc>
          <w:tcPr>
            <w:tcW w:w="2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hint="eastAsia" w:ascii="楷体_GB2312" w:hAnsi="宋体" w:eastAsia="楷体_GB2312" w:cs="宋体"/>
          <w:b/>
          <w:kern w:val="0"/>
          <w:sz w:val="32"/>
          <w:szCs w:val="32"/>
        </w:rPr>
      </w:pPr>
    </w:p>
    <w:p>
      <w:pPr>
        <w:widowControl/>
        <w:snapToGrid w:val="0"/>
        <w:spacing w:line="480" w:lineRule="exact"/>
        <w:ind w:firstLine="643" w:firstLineChars="200"/>
        <w:jc w:val="left"/>
        <w:textAlignment w:val="baseline"/>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napToGrid w:val="0"/>
        <w:spacing w:line="520" w:lineRule="exact"/>
        <w:ind w:firstLine="640" w:firstLineChars="200"/>
        <w:jc w:val="left"/>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napToGrid w:val="0"/>
        <w:spacing w:line="520" w:lineRule="exact"/>
        <w:jc w:val="left"/>
        <w:textAlignment w:val="baseline"/>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val="en-US"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560" w:lineRule="exact"/>
        <w:ind w:firstLine="5760" w:firstLineChars="18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eastAsia="zh-CN"/>
        </w:rPr>
        <w:t>水利局</w:t>
      </w:r>
      <w:r>
        <w:rPr>
          <w:rFonts w:hint="eastAsia" w:ascii="仿宋_GB2312" w:hAnsi="宋体" w:eastAsia="仿宋_GB2312" w:cs="宋体"/>
          <w:kern w:val="0"/>
          <w:sz w:val="32"/>
          <w:szCs w:val="32"/>
        </w:rPr>
        <w:t xml:space="preserve">                          </w:t>
      </w:r>
    </w:p>
    <w:p>
      <w:pPr>
        <w:spacing w:line="560" w:lineRule="exact"/>
        <w:ind w:firstLine="5760" w:firstLineChars="1800"/>
        <w:rPr>
          <w:rFonts w:ascii="仿宋_GB2312" w:hAnsi="宋体" w:eastAsia="仿宋_GB2312" w:cs="宋体"/>
          <w:kern w:val="0"/>
          <w:sz w:val="32"/>
          <w:szCs w:val="32"/>
        </w:rPr>
      </w:pPr>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86215E"/>
    <w:multiLevelType w:val="singleLevel"/>
    <w:tmpl w:val="E786215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zYzcxNmFjOWU0MDU0NjVlZWM4NTczMTA1ZTYwMDYifQ=="/>
  </w:docVars>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29A689B"/>
    <w:rsid w:val="03C13A81"/>
    <w:rsid w:val="0E4017F8"/>
    <w:rsid w:val="0F2C632C"/>
    <w:rsid w:val="15D91BE1"/>
    <w:rsid w:val="1B114B0D"/>
    <w:rsid w:val="1CBE22DF"/>
    <w:rsid w:val="1F5E78E6"/>
    <w:rsid w:val="20BA5011"/>
    <w:rsid w:val="20D0456E"/>
    <w:rsid w:val="23F445F5"/>
    <w:rsid w:val="26C62672"/>
    <w:rsid w:val="2791198D"/>
    <w:rsid w:val="27994B48"/>
    <w:rsid w:val="28D36B38"/>
    <w:rsid w:val="2D947902"/>
    <w:rsid w:val="30955A75"/>
    <w:rsid w:val="30C94DA4"/>
    <w:rsid w:val="39076DB6"/>
    <w:rsid w:val="43ED2597"/>
    <w:rsid w:val="51BD0237"/>
    <w:rsid w:val="537A705E"/>
    <w:rsid w:val="55A4240D"/>
    <w:rsid w:val="58C74608"/>
    <w:rsid w:val="595D44E2"/>
    <w:rsid w:val="5B85421A"/>
    <w:rsid w:val="5DC955AE"/>
    <w:rsid w:val="5FE47005"/>
    <w:rsid w:val="63054CDC"/>
    <w:rsid w:val="6767654A"/>
    <w:rsid w:val="688C00DA"/>
    <w:rsid w:val="69137E37"/>
    <w:rsid w:val="6CFE00D7"/>
    <w:rsid w:val="725846EF"/>
    <w:rsid w:val="74362D3C"/>
    <w:rsid w:val="7F600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4"/>
    <w:qFormat/>
    <w:uiPriority w:val="0"/>
    <w:rPr>
      <w:rFonts w:ascii="方正仿宋_GBK" w:hAnsi="方正仿宋_GBK" w:eastAsia="方正仿宋_GBK" w:cs="方正仿宋_GBK"/>
      <w:sz w:val="32"/>
      <w:szCs w:val="32"/>
      <w:lang w:val="zh-CN" w:bidi="zh-CN"/>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5"/>
    <w:qFormat/>
    <w:uiPriority w:val="0"/>
    <w:rPr>
      <w:sz w:val="18"/>
      <w:szCs w:val="18"/>
    </w:rPr>
  </w:style>
  <w:style w:type="character" w:customStyle="1" w:styleId="12">
    <w:name w:val="页脚 Char"/>
    <w:basedOn w:val="9"/>
    <w:link w:val="4"/>
    <w:qFormat/>
    <w:uiPriority w:val="99"/>
    <w:rPr>
      <w:sz w:val="18"/>
      <w:szCs w:val="18"/>
    </w:rPr>
  </w:style>
  <w:style w:type="character" w:customStyle="1" w:styleId="13">
    <w:name w:val="标题 2 Char"/>
    <w:basedOn w:val="9"/>
    <w:link w:val="2"/>
    <w:qFormat/>
    <w:uiPriority w:val="0"/>
    <w:rPr>
      <w:rFonts w:ascii="仿宋_GB2312" w:hAnsi="仿宋_GB2312" w:eastAsia="仿宋_GB2312" w:cs="仿宋_GB2312"/>
      <w:b/>
      <w:bCs/>
      <w:sz w:val="32"/>
      <w:szCs w:val="32"/>
      <w:lang w:val="zh-CN" w:bidi="zh-CN"/>
    </w:rPr>
  </w:style>
  <w:style w:type="character" w:customStyle="1" w:styleId="14">
    <w:name w:val="正文文本 Char"/>
    <w:basedOn w:val="9"/>
    <w:link w:val="3"/>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Pages>
  <Words>11710</Words>
  <Characters>14034</Characters>
  <Lines>69</Lines>
  <Paragraphs>19</Paragraphs>
  <TotalTime>35</TotalTime>
  <ScaleCrop>false</ScaleCrop>
  <LinksUpToDate>false</LinksUpToDate>
  <CharactersWithSpaces>14816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2022-04-07T11:18:00Z</cp:lastPrinted>
  <dcterms:modified xsi:type="dcterms:W3CDTF">2023-09-13T09:31:25Z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83C7827C33814B42B3783054209937CD</vt:lpwstr>
  </property>
</Properties>
</file>