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rPr>
      </w:pPr>
      <w:r>
        <w:rPr>
          <w:rFonts w:hint="eastAsia" w:ascii="黑体" w:hAnsi="黑体" w:eastAsia="黑体"/>
          <w:sz w:val="32"/>
          <w:szCs w:val="32"/>
        </w:rPr>
        <w:t>附件：</w:t>
      </w:r>
    </w:p>
    <w:p/>
    <w:p/>
    <w:p>
      <w:pPr>
        <w:widowControl/>
        <w:spacing w:before="100" w:beforeAutospacing="1" w:after="100" w:afterAutospacing="1"/>
        <w:outlineLvl w:val="1"/>
        <w:rPr>
          <w:rFonts w:ascii="黑体" w:hAnsi="黑体" w:eastAsia="黑体" w:cs="宋体"/>
          <w:kern w:val="0"/>
          <w:sz w:val="32"/>
          <w:szCs w:val="32"/>
        </w:rPr>
      </w:pPr>
    </w:p>
    <w:p>
      <w:pPr>
        <w:widowControl/>
        <w:spacing w:before="100" w:beforeAutospacing="1" w:after="100" w:afterAutospacing="1"/>
        <w:outlineLvl w:val="1"/>
        <w:rPr>
          <w:rFonts w:ascii="黑体" w:hAnsi="黑体" w:eastAsia="黑体" w:cs="宋体"/>
          <w:kern w:val="0"/>
          <w:sz w:val="32"/>
          <w:szCs w:val="32"/>
        </w:rPr>
      </w:pPr>
    </w:p>
    <w:p>
      <w:pPr>
        <w:widowControl/>
        <w:spacing w:before="100" w:beforeAutospacing="1" w:after="100" w:afterAutospacing="1"/>
        <w:outlineLvl w:val="1"/>
        <w:rPr>
          <w:rFonts w:ascii="宋体" w:hAnsi="宋体" w:cs="宋体"/>
          <w:b/>
          <w:bCs/>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昌吉回族自治州民政局2020年部门预算公开</w:t>
      </w: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jc w:val="center"/>
        <w:outlineLvl w:val="1"/>
        <w:rPr>
          <w:rFonts w:ascii="仿宋_GB2312" w:hAnsi="宋体" w:eastAsia="仿宋_GB2312"/>
          <w:b/>
          <w:kern w:val="0"/>
          <w:sz w:val="32"/>
          <w:szCs w:val="32"/>
        </w:rPr>
      </w:pPr>
      <w:r>
        <w:rPr>
          <w:rFonts w:hint="eastAsia" w:ascii="黑体" w:hAnsi="黑体" w:eastAsia="黑体"/>
          <w:kern w:val="0"/>
          <w:sz w:val="36"/>
          <w:szCs w:val="32"/>
        </w:rPr>
        <w:t>目 录</w:t>
      </w:r>
    </w:p>
    <w:p>
      <w:pPr>
        <w:widowControl/>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第一部分 昌吉回族自治州民</w:t>
      </w:r>
      <w:bookmarkStart w:id="0" w:name="_GoBack"/>
      <w:bookmarkEnd w:id="0"/>
      <w:r>
        <w:rPr>
          <w:rFonts w:hint="eastAsia" w:ascii="仿宋_GB2312" w:hAnsi="宋体" w:eastAsia="仿宋_GB2312"/>
          <w:b/>
          <w:kern w:val="0"/>
          <w:sz w:val="32"/>
          <w:szCs w:val="32"/>
        </w:rPr>
        <w:t>政局部门单位概况</w:t>
      </w:r>
    </w:p>
    <w:p>
      <w:pPr>
        <w:widowControl/>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pPr>
        <w:widowControl/>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pPr>
        <w:widowControl/>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第二部分 </w:t>
      </w:r>
      <w:r>
        <w:rPr>
          <w:rFonts w:ascii="宋体" w:hAnsi="宋体"/>
          <w:b/>
          <w:kern w:val="0"/>
          <w:sz w:val="32"/>
          <w:szCs w:val="32"/>
        </w:rPr>
        <w:t>20</w:t>
      </w:r>
      <w:r>
        <w:rPr>
          <w:rFonts w:hint="eastAsia" w:ascii="宋体" w:hAnsi="宋体"/>
          <w:b/>
          <w:kern w:val="0"/>
          <w:sz w:val="32"/>
          <w:szCs w:val="32"/>
        </w:rPr>
        <w:t>20</w:t>
      </w:r>
      <w:r>
        <w:rPr>
          <w:rFonts w:hint="eastAsia" w:ascii="仿宋_GB2312" w:hAnsi="宋体" w:eastAsia="仿宋_GB2312"/>
          <w:b/>
          <w:kern w:val="0"/>
          <w:sz w:val="32"/>
          <w:szCs w:val="32"/>
        </w:rPr>
        <w:t>年部门预算公开表</w:t>
      </w:r>
    </w:p>
    <w:p>
      <w:pPr>
        <w:widowControl/>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一、部门收支总体情况表</w:t>
      </w:r>
    </w:p>
    <w:p>
      <w:pPr>
        <w:widowControl/>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二、部门收入总体情况表</w:t>
      </w:r>
    </w:p>
    <w:p>
      <w:pPr>
        <w:widowControl/>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三、部门支出总体情况表</w:t>
      </w:r>
    </w:p>
    <w:p>
      <w:pPr>
        <w:widowControl/>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pPr>
        <w:widowControl/>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pPr>
        <w:widowControl/>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pPr>
        <w:widowControl/>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w:t>
      </w:r>
      <w:r>
        <w:rPr>
          <w:rFonts w:hint="eastAsia" w:ascii="仿宋_GB2312" w:hAnsi="宋体" w:eastAsia="仿宋_GB2312"/>
          <w:bCs/>
          <w:kern w:val="0"/>
          <w:sz w:val="32"/>
          <w:szCs w:val="32"/>
        </w:rPr>
        <w:t>项目支出情况表</w:t>
      </w:r>
    </w:p>
    <w:p>
      <w:pPr>
        <w:widowControl/>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pPr>
        <w:widowControl/>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pPr>
        <w:widowControl/>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第三部分 </w:t>
      </w:r>
      <w:r>
        <w:rPr>
          <w:rFonts w:ascii="宋体" w:hAnsi="宋体"/>
          <w:b/>
          <w:kern w:val="0"/>
          <w:sz w:val="32"/>
          <w:szCs w:val="32"/>
        </w:rPr>
        <w:t>20</w:t>
      </w:r>
      <w:r>
        <w:rPr>
          <w:rFonts w:hint="eastAsia" w:ascii="宋体" w:hAnsi="宋体"/>
          <w:b/>
          <w:kern w:val="0"/>
          <w:sz w:val="32"/>
          <w:szCs w:val="32"/>
        </w:rPr>
        <w:t>20</w:t>
      </w:r>
      <w:r>
        <w:rPr>
          <w:rFonts w:hint="eastAsia" w:ascii="仿宋_GB2312" w:hAnsi="宋体" w:eastAsia="仿宋_GB2312"/>
          <w:b/>
          <w:kern w:val="0"/>
          <w:sz w:val="32"/>
          <w:szCs w:val="32"/>
        </w:rPr>
        <w:t>年部门预算情况说明</w:t>
      </w:r>
    </w:p>
    <w:p>
      <w:pPr>
        <w:widowControl/>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一、关于昌吉州民政局2020年收支预算情况的总体说明</w:t>
      </w:r>
    </w:p>
    <w:p>
      <w:pPr>
        <w:widowControl/>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二、关于昌吉州民政局2020年收入预算情况说明</w:t>
      </w:r>
    </w:p>
    <w:p>
      <w:pPr>
        <w:widowControl/>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三、关于昌吉州民政局2020年支出预算情况说明</w:t>
      </w:r>
    </w:p>
    <w:p>
      <w:pPr>
        <w:widowControl/>
        <w:ind w:firstLine="640" w:firstLineChars="200"/>
        <w:outlineLvl w:val="1"/>
        <w:rPr>
          <w:rFonts w:ascii="仿宋_GB2312" w:hAnsi="宋体" w:eastAsia="仿宋_GB2312"/>
          <w:bCs/>
          <w:kern w:val="0"/>
          <w:sz w:val="32"/>
          <w:szCs w:val="32"/>
        </w:rPr>
      </w:pPr>
      <w:r>
        <w:rPr>
          <w:rFonts w:hint="eastAsia" w:ascii="仿宋_GB2312" w:hAnsi="宋体" w:eastAsia="仿宋_GB2312"/>
          <w:bCs/>
          <w:kern w:val="0"/>
          <w:sz w:val="32"/>
          <w:szCs w:val="32"/>
        </w:rPr>
        <w:t>四、关于</w:t>
      </w:r>
      <w:r>
        <w:rPr>
          <w:rFonts w:hint="eastAsia" w:ascii="仿宋_GB2312" w:hAnsi="宋体" w:eastAsia="仿宋_GB2312"/>
          <w:kern w:val="0"/>
          <w:sz w:val="32"/>
          <w:szCs w:val="32"/>
        </w:rPr>
        <w:t>昌吉州民政局2020</w:t>
      </w:r>
      <w:r>
        <w:rPr>
          <w:rFonts w:hint="eastAsia" w:ascii="仿宋_GB2312" w:hAnsi="宋体" w:eastAsia="仿宋_GB2312"/>
          <w:bCs/>
          <w:kern w:val="0"/>
          <w:sz w:val="32"/>
          <w:szCs w:val="32"/>
        </w:rPr>
        <w:t>年财政拨款收支预算情况的总体说明</w:t>
      </w:r>
    </w:p>
    <w:p>
      <w:pPr>
        <w:widowControl/>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五、关于昌吉州民政局2020年一般公共预算当年拨款情况说明</w:t>
      </w:r>
    </w:p>
    <w:p>
      <w:pPr>
        <w:widowControl/>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六、关于昌吉州民政局2020年一般公共预算基本支出情况说明</w:t>
      </w:r>
    </w:p>
    <w:p>
      <w:pPr>
        <w:widowControl/>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七、关于昌吉州民政局2020年项目支出情况说明</w:t>
      </w:r>
    </w:p>
    <w:p>
      <w:pPr>
        <w:widowControl/>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八、关于昌吉州民政局2020年一般公共预算“三公”经费预算情况说明</w:t>
      </w:r>
    </w:p>
    <w:p>
      <w:pPr>
        <w:widowControl/>
        <w:outlineLvl w:val="1"/>
        <w:rPr>
          <w:rFonts w:ascii="仿宋_GB2312" w:hAnsi="宋体" w:eastAsia="仿宋_GB2312"/>
          <w:kern w:val="0"/>
          <w:sz w:val="32"/>
          <w:szCs w:val="32"/>
        </w:rPr>
      </w:pPr>
      <w:r>
        <w:rPr>
          <w:rFonts w:hint="eastAsia" w:ascii="仿宋_GB2312" w:hAnsi="宋体" w:eastAsia="仿宋_GB2312"/>
          <w:kern w:val="0"/>
          <w:sz w:val="32"/>
          <w:szCs w:val="32"/>
        </w:rPr>
        <w:t>九、关于昌吉州民政局2020年政府性基金预算拨款情况说明</w:t>
      </w:r>
    </w:p>
    <w:p>
      <w:pPr>
        <w:widowControl/>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pPr>
        <w:widowControl/>
        <w:ind w:firstLine="643" w:firstLineChars="200"/>
        <w:outlineLvl w:val="1"/>
        <w:rPr>
          <w:rFonts w:ascii="黑体" w:hAnsi="黑体" w:eastAsia="黑体"/>
          <w:kern w:val="0"/>
          <w:sz w:val="32"/>
          <w:szCs w:val="32"/>
        </w:rPr>
      </w:pPr>
      <w:r>
        <w:rPr>
          <w:rFonts w:hint="eastAsia" w:ascii="仿宋_GB2312" w:hAnsi="宋体" w:eastAsia="仿宋_GB2312"/>
          <w:b/>
          <w:kern w:val="0"/>
          <w:sz w:val="32"/>
          <w:szCs w:val="32"/>
        </w:rPr>
        <w:t>第四部分  名词解释</w:t>
      </w:r>
    </w:p>
    <w:p>
      <w:pPr>
        <w:widowControl/>
        <w:jc w:val="center"/>
        <w:outlineLvl w:val="1"/>
        <w:rPr>
          <w:rFonts w:ascii="黑体" w:hAnsi="黑体" w:eastAsia="黑体"/>
          <w:kern w:val="0"/>
          <w:sz w:val="32"/>
          <w:szCs w:val="32"/>
        </w:rPr>
      </w:pPr>
      <w:r>
        <w:rPr>
          <w:rFonts w:hint="eastAsia" w:ascii="黑体" w:hAnsi="黑体" w:eastAsia="黑体"/>
          <w:kern w:val="0"/>
          <w:sz w:val="32"/>
          <w:szCs w:val="32"/>
        </w:rPr>
        <w:t>第一部分   昌吉回族自治州民政局概况</w:t>
      </w:r>
    </w:p>
    <w:p>
      <w:pPr>
        <w:widowControl/>
        <w:jc w:val="center"/>
        <w:outlineLvl w:val="1"/>
        <w:rPr>
          <w:rFonts w:ascii="宋体" w:hAnsi="宋体"/>
          <w:b/>
          <w:kern w:val="0"/>
          <w:sz w:val="32"/>
          <w:szCs w:val="32"/>
        </w:rPr>
      </w:pPr>
    </w:p>
    <w:p>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一、主要职能</w:t>
      </w:r>
    </w:p>
    <w:p>
      <w:pPr>
        <w:pStyle w:val="7"/>
        <w:spacing w:before="225" w:beforeAutospacing="0" w:after="0" w:afterAutospacing="0"/>
        <w:ind w:firstLine="420"/>
        <w:rPr>
          <w:rFonts w:ascii="仿宋_GB2312" w:hAnsi="仿宋_GB2312" w:eastAsia="仿宋_GB2312" w:cs="仿宋_GB2312"/>
          <w:color w:val="2B2B2B"/>
          <w:sz w:val="32"/>
          <w:szCs w:val="32"/>
        </w:rPr>
      </w:pPr>
      <w:r>
        <w:rPr>
          <w:rFonts w:hint="eastAsia" w:ascii="仿宋_GB2312" w:hAnsi="仿宋_GB2312" w:eastAsia="仿宋_GB2312" w:cs="仿宋_GB2312"/>
          <w:color w:val="2B2B2B"/>
          <w:sz w:val="32"/>
          <w:szCs w:val="32"/>
        </w:rPr>
        <w:t>1）贯彻执行国家和区州关于民政工作的法律、法规、规章、政策；拟订民政事业发展规划并组织实施。</w:t>
      </w:r>
    </w:p>
    <w:p>
      <w:pPr>
        <w:pStyle w:val="7"/>
        <w:spacing w:before="225" w:beforeAutospacing="0" w:after="0" w:afterAutospacing="0"/>
        <w:ind w:firstLine="420"/>
        <w:rPr>
          <w:rFonts w:ascii="仿宋_GB2312" w:hAnsi="仿宋_GB2312" w:eastAsia="仿宋_GB2312" w:cs="仿宋_GB2312"/>
          <w:color w:val="2B2B2B"/>
          <w:sz w:val="32"/>
          <w:szCs w:val="32"/>
        </w:rPr>
      </w:pPr>
      <w:r>
        <w:rPr>
          <w:rFonts w:hint="eastAsia" w:ascii="仿宋_GB2312" w:hAnsi="仿宋_GB2312" w:eastAsia="仿宋_GB2312" w:cs="仿宋_GB2312"/>
          <w:color w:val="2B2B2B"/>
          <w:sz w:val="32"/>
          <w:szCs w:val="32"/>
        </w:rPr>
        <w:t>2）拟订社会救助规划、政策和标准，健全城乡社会救助体系，指导县市做好有意愿的特困老人集中供养和孤儿集中收养工作；指导县市特困人员供养、最低生活保障、临时救助工作。</w:t>
      </w:r>
    </w:p>
    <w:p>
      <w:pPr>
        <w:pStyle w:val="7"/>
        <w:spacing w:before="225" w:beforeAutospacing="0" w:after="0" w:afterAutospacing="0"/>
        <w:ind w:firstLine="420"/>
        <w:rPr>
          <w:rFonts w:ascii="仿宋_GB2312" w:hAnsi="仿宋_GB2312" w:eastAsia="仿宋_GB2312" w:cs="仿宋_GB2312"/>
          <w:color w:val="2B2B2B"/>
          <w:sz w:val="32"/>
          <w:szCs w:val="32"/>
        </w:rPr>
      </w:pPr>
      <w:r>
        <w:rPr>
          <w:rFonts w:hint="eastAsia" w:ascii="仿宋_GB2312" w:hAnsi="仿宋_GB2312" w:eastAsia="仿宋_GB2312" w:cs="仿宋_GB2312"/>
          <w:color w:val="2B2B2B"/>
          <w:sz w:val="32"/>
          <w:szCs w:val="32"/>
        </w:rPr>
        <w:t>3）拟订社会团体、社会服务机构、基金会的登记管理法规草案、政策；承担全州性社会团体、社会服务机构、基金会登记管理、监督责任。指导县市社会团体、社会服务机构的登记管理和行政执法监督，指导社会组织党建工作。</w:t>
      </w:r>
    </w:p>
    <w:p>
      <w:pPr>
        <w:pStyle w:val="7"/>
        <w:spacing w:before="225" w:beforeAutospacing="0" w:after="0" w:afterAutospacing="0"/>
        <w:ind w:firstLine="420"/>
        <w:rPr>
          <w:rFonts w:ascii="仿宋_GB2312" w:hAnsi="仿宋_GB2312" w:eastAsia="仿宋_GB2312" w:cs="仿宋_GB2312"/>
          <w:color w:val="2B2B2B"/>
          <w:sz w:val="32"/>
          <w:szCs w:val="32"/>
        </w:rPr>
      </w:pPr>
      <w:r>
        <w:rPr>
          <w:rFonts w:hint="eastAsia" w:ascii="仿宋_GB2312" w:hAnsi="仿宋_GB2312" w:eastAsia="仿宋_GB2312" w:cs="仿宋_GB2312"/>
          <w:color w:val="2B2B2B"/>
          <w:sz w:val="32"/>
          <w:szCs w:val="32"/>
        </w:rPr>
        <w:t>4）拟订城乡基层群众自治组织建设和社区治理的规划、政策和标准；指导加强和完善城乡基层政权及社区治理，推动基层民主政治建设；指导城乡社区服务体系建设。</w:t>
      </w:r>
    </w:p>
    <w:p>
      <w:pPr>
        <w:pStyle w:val="7"/>
        <w:spacing w:before="225" w:beforeAutospacing="0" w:after="0" w:afterAutospacing="0"/>
        <w:ind w:firstLine="420"/>
        <w:rPr>
          <w:rFonts w:ascii="仿宋_GB2312" w:hAnsi="仿宋_GB2312" w:eastAsia="仿宋_GB2312" w:cs="仿宋_GB2312"/>
          <w:color w:val="2B2B2B"/>
          <w:sz w:val="32"/>
          <w:szCs w:val="32"/>
        </w:rPr>
      </w:pPr>
      <w:r>
        <w:rPr>
          <w:rFonts w:hint="eastAsia" w:ascii="仿宋_GB2312" w:hAnsi="仿宋_GB2312" w:eastAsia="仿宋_GB2312" w:cs="仿宋_GB2312"/>
          <w:color w:val="2B2B2B"/>
          <w:sz w:val="32"/>
          <w:szCs w:val="32"/>
        </w:rPr>
        <w:t>5）拟定行政区划、行政区域界线、地名管理政策和标准；指导、承办行政区域内行政区划调整、行政区域界线勘定和管理、地名管理；协调处理边界争议和纠纷。</w:t>
      </w:r>
    </w:p>
    <w:p>
      <w:pPr>
        <w:pStyle w:val="7"/>
        <w:spacing w:before="225" w:beforeAutospacing="0" w:after="0" w:afterAutospacing="0"/>
        <w:ind w:firstLine="420"/>
        <w:rPr>
          <w:rFonts w:ascii="仿宋_GB2312" w:hAnsi="仿宋_GB2312" w:eastAsia="仿宋_GB2312" w:cs="仿宋_GB2312"/>
          <w:color w:val="2B2B2B"/>
          <w:sz w:val="32"/>
          <w:szCs w:val="32"/>
        </w:rPr>
      </w:pPr>
      <w:r>
        <w:rPr>
          <w:rFonts w:hint="eastAsia" w:ascii="仿宋_GB2312" w:hAnsi="仿宋_GB2312" w:eastAsia="仿宋_GB2312" w:cs="仿宋_GB2312"/>
          <w:color w:val="2B2B2B"/>
          <w:sz w:val="32"/>
          <w:szCs w:val="32"/>
        </w:rPr>
        <w:t>6)拟订婚姻登记、殡葬管理政策；指导婚姻登记、殡葬服务机构管理，推进婚俗和殡葬改革。</w:t>
      </w:r>
    </w:p>
    <w:p>
      <w:pPr>
        <w:pStyle w:val="7"/>
        <w:spacing w:before="225" w:beforeAutospacing="0" w:after="0" w:afterAutospacing="0"/>
        <w:ind w:firstLine="420"/>
        <w:rPr>
          <w:rFonts w:ascii="仿宋_GB2312" w:hAnsi="仿宋_GB2312" w:eastAsia="仿宋_GB2312" w:cs="仿宋_GB2312"/>
          <w:color w:val="2B2B2B"/>
          <w:sz w:val="32"/>
          <w:szCs w:val="32"/>
        </w:rPr>
      </w:pPr>
      <w:r>
        <w:rPr>
          <w:rFonts w:hint="eastAsia" w:ascii="仿宋_GB2312" w:hAnsi="仿宋_GB2312" w:eastAsia="仿宋_GB2312" w:cs="仿宋_GB2312"/>
          <w:color w:val="2B2B2B"/>
          <w:sz w:val="32"/>
          <w:szCs w:val="32"/>
        </w:rPr>
        <w:t>7）拟订老年人福利和养老服务业发展规划、法规草案、政策和标准，推进社会养老服务体系建设；指导养老机构和特困人员救助供养机构建设和管理。</w:t>
      </w:r>
    </w:p>
    <w:p>
      <w:pPr>
        <w:pStyle w:val="7"/>
        <w:spacing w:before="225" w:beforeAutospacing="0" w:after="0" w:afterAutospacing="0"/>
        <w:ind w:firstLine="420"/>
        <w:rPr>
          <w:rFonts w:ascii="仿宋_GB2312" w:hAnsi="仿宋_GB2312" w:eastAsia="仿宋_GB2312" w:cs="仿宋_GB2312"/>
          <w:color w:val="2B2B2B"/>
          <w:sz w:val="32"/>
          <w:szCs w:val="32"/>
        </w:rPr>
      </w:pPr>
      <w:r>
        <w:rPr>
          <w:rFonts w:hint="eastAsia" w:ascii="仿宋_GB2312" w:hAnsi="仿宋_GB2312" w:eastAsia="仿宋_GB2312" w:cs="仿宋_GB2312"/>
          <w:color w:val="2B2B2B"/>
          <w:sz w:val="32"/>
          <w:szCs w:val="32"/>
        </w:rPr>
        <w:t>8）拟订儿童福利、儿童收养和儿童保护政策、标准；健全农村留守儿童关爱体系和困境儿童保障制度；指导儿童福利收养登记、未成年人保护机构管理。拟定生活无着的流浪、乞讨人员救助政策，指导县市生活无着流浪乞讨人员救助工作。</w:t>
      </w:r>
    </w:p>
    <w:p>
      <w:pPr>
        <w:pStyle w:val="7"/>
        <w:spacing w:before="225" w:beforeAutospacing="0" w:after="0" w:afterAutospacing="0"/>
        <w:ind w:firstLine="420"/>
        <w:rPr>
          <w:rFonts w:ascii="仿宋_GB2312" w:hAnsi="仿宋_GB2312" w:eastAsia="仿宋_GB2312" w:cs="仿宋_GB2312"/>
          <w:color w:val="2B2B2B"/>
          <w:sz w:val="32"/>
          <w:szCs w:val="32"/>
        </w:rPr>
      </w:pPr>
      <w:r>
        <w:rPr>
          <w:rFonts w:hint="eastAsia" w:ascii="仿宋_GB2312" w:hAnsi="仿宋_GB2312" w:eastAsia="仿宋_GB2312" w:cs="仿宋_GB2312"/>
          <w:color w:val="2B2B2B"/>
          <w:sz w:val="32"/>
          <w:szCs w:val="32"/>
        </w:rPr>
        <w:t>9）拟订促进慈善事业发展规划、政策和标准；指导社会捐助，监管慈善行为；负责福利彩票发行管理。</w:t>
      </w:r>
    </w:p>
    <w:p>
      <w:pPr>
        <w:pStyle w:val="7"/>
        <w:spacing w:before="225" w:beforeAutospacing="0" w:after="0" w:afterAutospacing="0"/>
        <w:ind w:firstLine="420"/>
        <w:rPr>
          <w:rFonts w:ascii="仿宋_GB2312" w:hAnsi="仿宋_GB2312" w:eastAsia="仿宋_GB2312" w:cs="仿宋_GB2312"/>
          <w:color w:val="2B2B2B"/>
          <w:sz w:val="32"/>
          <w:szCs w:val="32"/>
        </w:rPr>
      </w:pPr>
      <w:r>
        <w:rPr>
          <w:rFonts w:hint="eastAsia" w:ascii="仿宋_GB2312" w:hAnsi="仿宋_GB2312" w:eastAsia="仿宋_GB2312" w:cs="仿宋_GB2312"/>
          <w:color w:val="2B2B2B"/>
          <w:sz w:val="32"/>
          <w:szCs w:val="32"/>
        </w:rPr>
        <w:t>10）拟订残疾人福利发展政策和标准；指导残疾人福利和康复辅助器具行业发展；指导民政职责范围内的精神卫生工作。</w:t>
      </w:r>
    </w:p>
    <w:p>
      <w:pPr>
        <w:pStyle w:val="7"/>
        <w:spacing w:before="225" w:beforeAutospacing="0" w:after="0" w:afterAutospacing="0"/>
        <w:ind w:firstLine="420"/>
        <w:rPr>
          <w:rFonts w:ascii="仿宋_GB2312" w:hAnsi="仿宋_GB2312" w:eastAsia="仿宋_GB2312" w:cs="仿宋_GB2312"/>
          <w:color w:val="2B2B2B"/>
          <w:sz w:val="32"/>
          <w:szCs w:val="32"/>
        </w:rPr>
      </w:pPr>
      <w:r>
        <w:rPr>
          <w:rFonts w:hint="eastAsia" w:ascii="仿宋_GB2312" w:hAnsi="仿宋_GB2312" w:eastAsia="仿宋_GB2312" w:cs="仿宋_GB2312"/>
          <w:color w:val="2B2B2B"/>
          <w:sz w:val="32"/>
          <w:szCs w:val="32"/>
        </w:rPr>
        <w:t>11)拟订社会工作发展规划、政策和职业规范，指导社会工作人才和志愿者队伍建设。</w:t>
      </w:r>
    </w:p>
    <w:p>
      <w:pPr>
        <w:pStyle w:val="7"/>
        <w:spacing w:before="225" w:beforeAutospacing="0" w:after="0" w:afterAutospacing="0"/>
        <w:ind w:firstLine="420"/>
        <w:rPr>
          <w:rFonts w:ascii="仿宋_GB2312" w:hAnsi="仿宋_GB2312" w:eastAsia="仿宋_GB2312" w:cs="仿宋_GB2312"/>
          <w:color w:val="2B2B2B"/>
          <w:sz w:val="32"/>
          <w:szCs w:val="32"/>
        </w:rPr>
      </w:pPr>
      <w:r>
        <w:rPr>
          <w:rFonts w:hint="eastAsia" w:ascii="仿宋_GB2312" w:hAnsi="仿宋_GB2312" w:eastAsia="仿宋_GB2312" w:cs="仿宋_GB2312"/>
          <w:color w:val="2B2B2B"/>
          <w:sz w:val="32"/>
          <w:szCs w:val="32"/>
        </w:rPr>
        <w:t>12)完成自治州党委、自治州人民政府交办的其他任务。</w:t>
      </w:r>
    </w:p>
    <w:p>
      <w:pPr>
        <w:widowControl/>
        <w:spacing w:line="560" w:lineRule="exact"/>
        <w:jc w:val="left"/>
        <w:rPr>
          <w:rFonts w:ascii="仿宋_GB2312" w:hAnsi="宋体" w:eastAsia="仿宋_GB2312" w:cs="宋体"/>
          <w:bCs/>
          <w:kern w:val="0"/>
          <w:sz w:val="32"/>
          <w:szCs w:val="32"/>
        </w:rPr>
      </w:pPr>
    </w:p>
    <w:p>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二、机构设置及人员情况</w:t>
      </w:r>
    </w:p>
    <w:p>
      <w:pPr>
        <w:ind w:firstLine="640" w:firstLineChars="200"/>
        <w:jc w:val="left"/>
        <w:rPr>
          <w:rFonts w:ascii="仿宋_GB2312" w:hAnsi="仿宋_GB2312" w:eastAsia="仿宋_GB2312" w:cs="仿宋_GB2312"/>
          <w:sz w:val="32"/>
          <w:szCs w:val="32"/>
        </w:rPr>
      </w:pPr>
      <w:r>
        <w:rPr>
          <w:rFonts w:hint="eastAsia" w:ascii="仿宋_GB2312" w:hAnsi="宋体" w:eastAsia="仿宋_GB2312" w:cs="宋体"/>
          <w:kern w:val="0"/>
          <w:sz w:val="32"/>
          <w:szCs w:val="32"/>
        </w:rPr>
        <w:t>昌吉回族自治州民政局无下属预算单位，</w:t>
      </w:r>
      <w:r>
        <w:rPr>
          <w:rFonts w:hint="eastAsia" w:ascii="仿宋_GB2312" w:hAnsi="黑体" w:eastAsia="仿宋_GB2312" w:cs="宋体"/>
          <w:bCs/>
          <w:kern w:val="0"/>
          <w:sz w:val="32"/>
          <w:szCs w:val="32"/>
        </w:rPr>
        <w:t>下设</w:t>
      </w:r>
      <w:r>
        <w:rPr>
          <w:rFonts w:ascii="仿宋_GB2312" w:hAnsi="黑体" w:eastAsia="仿宋_GB2312" w:cs="宋体"/>
          <w:bCs/>
          <w:kern w:val="0"/>
          <w:sz w:val="32"/>
          <w:szCs w:val="32"/>
        </w:rPr>
        <w:t>8</w:t>
      </w:r>
      <w:r>
        <w:rPr>
          <w:rFonts w:hint="eastAsia" w:ascii="仿宋_GB2312" w:hAnsi="黑体" w:eastAsia="仿宋_GB2312" w:cs="宋体"/>
          <w:bCs/>
          <w:kern w:val="0"/>
          <w:sz w:val="32"/>
          <w:szCs w:val="32"/>
        </w:rPr>
        <w:t>个处室，分别是：</w:t>
      </w:r>
      <w:r>
        <w:fldChar w:fldCharType="begin"/>
      </w:r>
      <w:r>
        <w:instrText xml:space="preserve"> HYPERLINK "http://www.cj.gov.cn/gk/bmzzz/111975.htm" \t "http://www.cj.gov.cn/info/_blank" \o "办公室（组织人事科）" </w:instrText>
      </w:r>
      <w:r>
        <w:fldChar w:fldCharType="separate"/>
      </w:r>
      <w:r>
        <w:rPr>
          <w:rStyle w:val="13"/>
          <w:rFonts w:hint="eastAsia" w:ascii="仿宋_GB2312" w:hAnsi="仿宋_GB2312" w:eastAsia="仿宋_GB2312" w:cs="仿宋_GB2312"/>
          <w:color w:val="auto"/>
          <w:sz w:val="32"/>
          <w:szCs w:val="32"/>
          <w:u w:val="none"/>
        </w:rPr>
        <w:t>办公室（组织人事科）</w:t>
      </w:r>
      <w:r>
        <w:rPr>
          <w:rStyle w:val="13"/>
          <w:rFonts w:hint="eastAsia" w:ascii="仿宋_GB2312" w:hAnsi="仿宋_GB2312" w:eastAsia="仿宋_GB2312" w:cs="仿宋_GB2312"/>
          <w:color w:val="auto"/>
          <w:sz w:val="32"/>
          <w:szCs w:val="32"/>
          <w:u w:val="none"/>
        </w:rPr>
        <w:fldChar w:fldCharType="end"/>
      </w:r>
      <w:r>
        <w:rPr>
          <w:rFonts w:hint="eastAsia" w:ascii="仿宋_GB2312" w:hAnsi="仿宋_GB2312" w:eastAsia="仿宋_GB2312" w:cs="仿宋_GB2312"/>
          <w:sz w:val="32"/>
          <w:szCs w:val="32"/>
        </w:rPr>
        <w:t>、</w:t>
      </w:r>
      <w:r>
        <w:fldChar w:fldCharType="begin"/>
      </w:r>
      <w:r>
        <w:instrText xml:space="preserve"> HYPERLINK "http://www.cj.gov.cn/gk/bmzzz/876108.htm" \t "http://www.cj.gov.cn/info/_blank" \o "居民家庭经济状况核对中心" </w:instrText>
      </w:r>
      <w:r>
        <w:fldChar w:fldCharType="separate"/>
      </w:r>
      <w:r>
        <w:rPr>
          <w:rStyle w:val="13"/>
          <w:rFonts w:hint="eastAsia" w:ascii="仿宋_GB2312" w:hAnsi="仿宋_GB2312" w:eastAsia="仿宋_GB2312" w:cs="仿宋_GB2312"/>
          <w:color w:val="auto"/>
          <w:sz w:val="32"/>
          <w:szCs w:val="32"/>
          <w:u w:val="none"/>
        </w:rPr>
        <w:t>居民家庭经济状况核对中心</w:t>
      </w:r>
      <w:r>
        <w:rPr>
          <w:rStyle w:val="13"/>
          <w:rFonts w:hint="eastAsia" w:ascii="仿宋_GB2312" w:hAnsi="仿宋_GB2312" w:eastAsia="仿宋_GB2312" w:cs="仿宋_GB2312"/>
          <w:color w:val="auto"/>
          <w:sz w:val="32"/>
          <w:szCs w:val="32"/>
          <w:u w:val="none"/>
        </w:rPr>
        <w:fldChar w:fldCharType="end"/>
      </w:r>
      <w:r>
        <w:rPr>
          <w:rFonts w:hint="eastAsia" w:ascii="仿宋_GB2312" w:hAnsi="仿宋_GB2312" w:eastAsia="仿宋_GB2312" w:cs="仿宋_GB2312"/>
          <w:sz w:val="32"/>
          <w:szCs w:val="32"/>
        </w:rPr>
        <w:t>、</w:t>
      </w:r>
      <w:r>
        <w:fldChar w:fldCharType="begin"/>
      </w:r>
      <w:r>
        <w:instrText xml:space="preserve"> HYPERLINK "http://www.cj.gov.cn/gk/bmzzz/876107.htm" \t "http://www.cj.gov.cn/info/_blank" \o "社会组织党建工作服务中心" </w:instrText>
      </w:r>
      <w:r>
        <w:fldChar w:fldCharType="separate"/>
      </w:r>
      <w:r>
        <w:rPr>
          <w:rStyle w:val="13"/>
          <w:rFonts w:hint="eastAsia" w:ascii="仿宋_GB2312" w:hAnsi="仿宋_GB2312" w:eastAsia="仿宋_GB2312" w:cs="仿宋_GB2312"/>
          <w:color w:val="auto"/>
          <w:sz w:val="32"/>
          <w:szCs w:val="32"/>
          <w:u w:val="none"/>
        </w:rPr>
        <w:t>社会组织党建工作服务中心</w:t>
      </w:r>
      <w:r>
        <w:rPr>
          <w:rStyle w:val="13"/>
          <w:rFonts w:hint="eastAsia" w:ascii="仿宋_GB2312" w:hAnsi="仿宋_GB2312" w:eastAsia="仿宋_GB2312" w:cs="仿宋_GB2312"/>
          <w:color w:val="auto"/>
          <w:sz w:val="32"/>
          <w:szCs w:val="32"/>
          <w:u w:val="none"/>
        </w:rPr>
        <w:fldChar w:fldCharType="end"/>
      </w:r>
      <w:r>
        <w:rPr>
          <w:rFonts w:hint="eastAsia" w:ascii="仿宋_GB2312" w:hAnsi="仿宋_GB2312" w:eastAsia="仿宋_GB2312" w:cs="仿宋_GB2312"/>
          <w:sz w:val="32"/>
          <w:szCs w:val="32"/>
        </w:rPr>
        <w:t>、</w:t>
      </w:r>
      <w:r>
        <w:fldChar w:fldCharType="begin"/>
      </w:r>
      <w:r>
        <w:instrText xml:space="preserve"> HYPERLINK "http://www.cj.gov.cn/gk/bmzzz/111989.htm" \t "http://www.cj.gov.cn/info/_blank" \o "养老社会事务和慈善事业科" </w:instrText>
      </w:r>
      <w:r>
        <w:fldChar w:fldCharType="separate"/>
      </w:r>
      <w:r>
        <w:rPr>
          <w:rStyle w:val="13"/>
          <w:rFonts w:hint="eastAsia" w:ascii="仿宋_GB2312" w:hAnsi="仿宋_GB2312" w:eastAsia="仿宋_GB2312" w:cs="仿宋_GB2312"/>
          <w:color w:val="auto"/>
          <w:sz w:val="32"/>
          <w:szCs w:val="32"/>
          <w:u w:val="none"/>
        </w:rPr>
        <w:t>养老社会事务和慈善事业科</w:t>
      </w:r>
      <w:r>
        <w:rPr>
          <w:rStyle w:val="13"/>
          <w:rFonts w:hint="eastAsia" w:ascii="仿宋_GB2312" w:hAnsi="仿宋_GB2312" w:eastAsia="仿宋_GB2312" w:cs="仿宋_GB2312"/>
          <w:color w:val="auto"/>
          <w:sz w:val="32"/>
          <w:szCs w:val="32"/>
          <w:u w:val="none"/>
        </w:rPr>
        <w:fldChar w:fldCharType="end"/>
      </w:r>
      <w:r>
        <w:rPr>
          <w:rFonts w:hint="eastAsia" w:ascii="仿宋_GB2312" w:hAnsi="仿宋_GB2312" w:eastAsia="仿宋_GB2312" w:cs="仿宋_GB2312"/>
          <w:sz w:val="32"/>
          <w:szCs w:val="32"/>
        </w:rPr>
        <w:t>、</w:t>
      </w:r>
      <w:r>
        <w:fldChar w:fldCharType="begin"/>
      </w:r>
      <w:r>
        <w:instrText xml:space="preserve"> HYPERLINK "http://www.cj.gov.cn/gk/bmzzz/111987.htm" \t "http://www.cj.gov.cn/info/_blank" \o "基层政权建设和区划地名科" </w:instrText>
      </w:r>
      <w:r>
        <w:fldChar w:fldCharType="separate"/>
      </w:r>
      <w:r>
        <w:rPr>
          <w:rStyle w:val="13"/>
          <w:rFonts w:hint="eastAsia" w:ascii="仿宋_GB2312" w:hAnsi="仿宋_GB2312" w:eastAsia="仿宋_GB2312" w:cs="仿宋_GB2312"/>
          <w:color w:val="auto"/>
          <w:sz w:val="32"/>
          <w:szCs w:val="32"/>
          <w:u w:val="none"/>
        </w:rPr>
        <w:t>基层政权建设和区划地名科</w:t>
      </w:r>
      <w:r>
        <w:rPr>
          <w:rStyle w:val="13"/>
          <w:rFonts w:hint="eastAsia" w:ascii="仿宋_GB2312" w:hAnsi="仿宋_GB2312" w:eastAsia="仿宋_GB2312" w:cs="仿宋_GB2312"/>
          <w:color w:val="auto"/>
          <w:sz w:val="32"/>
          <w:szCs w:val="32"/>
          <w:u w:val="none"/>
        </w:rPr>
        <w:fldChar w:fldCharType="end"/>
      </w:r>
      <w:r>
        <w:rPr>
          <w:rFonts w:hint="eastAsia" w:ascii="仿宋_GB2312" w:hAnsi="仿宋_GB2312" w:eastAsia="仿宋_GB2312" w:cs="仿宋_GB2312"/>
          <w:sz w:val="32"/>
          <w:szCs w:val="32"/>
        </w:rPr>
        <w:t>、</w:t>
      </w:r>
      <w:r>
        <w:fldChar w:fldCharType="begin"/>
      </w:r>
      <w:r>
        <w:instrText xml:space="preserve"> HYPERLINK "http://www.cj.gov.cn/gk/bmzzz/111984.htm" \t "http://www.cj.gov.cn/info/_blank" \o "社会救助和儿童福利科" </w:instrText>
      </w:r>
      <w:r>
        <w:fldChar w:fldCharType="separate"/>
      </w:r>
      <w:r>
        <w:rPr>
          <w:rStyle w:val="13"/>
          <w:rFonts w:hint="eastAsia" w:ascii="仿宋_GB2312" w:hAnsi="仿宋_GB2312" w:eastAsia="仿宋_GB2312" w:cs="仿宋_GB2312"/>
          <w:color w:val="auto"/>
          <w:sz w:val="32"/>
          <w:szCs w:val="32"/>
          <w:u w:val="none"/>
        </w:rPr>
        <w:t>社会救助和儿童福利科</w:t>
      </w:r>
      <w:r>
        <w:rPr>
          <w:rStyle w:val="13"/>
          <w:rFonts w:hint="eastAsia" w:ascii="仿宋_GB2312" w:hAnsi="仿宋_GB2312" w:eastAsia="仿宋_GB2312" w:cs="仿宋_GB2312"/>
          <w:color w:val="auto"/>
          <w:sz w:val="32"/>
          <w:szCs w:val="32"/>
          <w:u w:val="none"/>
        </w:rPr>
        <w:fldChar w:fldCharType="end"/>
      </w:r>
      <w:r>
        <w:rPr>
          <w:rFonts w:hint="eastAsia" w:ascii="仿宋_GB2312" w:hAnsi="仿宋_GB2312" w:eastAsia="仿宋_GB2312" w:cs="仿宋_GB2312"/>
          <w:sz w:val="32"/>
          <w:szCs w:val="32"/>
        </w:rPr>
        <w:t>、</w:t>
      </w:r>
      <w:r>
        <w:fldChar w:fldCharType="begin"/>
      </w:r>
      <w:r>
        <w:instrText xml:space="preserve"> HYPERLINK "http://www.cj.gov.cn/gk/bmzzz/111979.htm" \t "http://www.cj.gov.cn/info/_blank" \o "社会组织管理和社会工作科（行政审批科）" </w:instrText>
      </w:r>
      <w:r>
        <w:fldChar w:fldCharType="separate"/>
      </w:r>
      <w:r>
        <w:rPr>
          <w:rStyle w:val="13"/>
          <w:rFonts w:hint="eastAsia" w:ascii="仿宋_GB2312" w:hAnsi="仿宋_GB2312" w:eastAsia="仿宋_GB2312" w:cs="仿宋_GB2312"/>
          <w:color w:val="auto"/>
          <w:sz w:val="32"/>
          <w:szCs w:val="32"/>
          <w:u w:val="none"/>
        </w:rPr>
        <w:t>社会组织管理和社会工作科（行政审批科）</w:t>
      </w:r>
      <w:r>
        <w:rPr>
          <w:rStyle w:val="13"/>
          <w:rFonts w:hint="eastAsia" w:ascii="仿宋_GB2312" w:hAnsi="仿宋_GB2312" w:eastAsia="仿宋_GB2312" w:cs="仿宋_GB2312"/>
          <w:color w:val="auto"/>
          <w:sz w:val="32"/>
          <w:szCs w:val="32"/>
          <w:u w:val="none"/>
        </w:rPr>
        <w:fldChar w:fldCharType="end"/>
      </w:r>
      <w:r>
        <w:rPr>
          <w:rFonts w:hint="eastAsia" w:ascii="仿宋_GB2312" w:hAnsi="仿宋_GB2312" w:eastAsia="仿宋_GB2312" w:cs="仿宋_GB2312"/>
          <w:sz w:val="32"/>
          <w:szCs w:val="32"/>
        </w:rPr>
        <w:t>、</w:t>
      </w:r>
      <w:r>
        <w:fldChar w:fldCharType="begin"/>
      </w:r>
      <w:r>
        <w:instrText xml:space="preserve"> HYPERLINK "http://www.cj.gov.cn/gk/bmzzz/876109.htm" \t "http://www.cj.gov.cn/info/_blank" \o "福利彩票发行中心" </w:instrText>
      </w:r>
      <w:r>
        <w:fldChar w:fldCharType="separate"/>
      </w:r>
      <w:r>
        <w:rPr>
          <w:rStyle w:val="13"/>
          <w:rFonts w:hint="eastAsia" w:ascii="仿宋_GB2312" w:hAnsi="仿宋_GB2312" w:eastAsia="仿宋_GB2312" w:cs="仿宋_GB2312"/>
          <w:color w:val="auto"/>
          <w:sz w:val="32"/>
          <w:szCs w:val="32"/>
          <w:u w:val="none"/>
        </w:rPr>
        <w:t>福利彩票发行中心</w:t>
      </w:r>
      <w:r>
        <w:rPr>
          <w:rStyle w:val="13"/>
          <w:rFonts w:hint="eastAsia" w:ascii="仿宋_GB2312" w:hAnsi="仿宋_GB2312" w:eastAsia="仿宋_GB2312" w:cs="仿宋_GB2312"/>
          <w:color w:val="auto"/>
          <w:sz w:val="32"/>
          <w:szCs w:val="32"/>
          <w:u w:val="none"/>
        </w:rPr>
        <w:fldChar w:fldCharType="end"/>
      </w:r>
      <w:r>
        <w:rPr>
          <w:rFonts w:hint="eastAsia" w:ascii="仿宋_GB2312" w:hAnsi="仿宋_GB2312" w:eastAsia="仿宋_GB2312" w:cs="仿宋_GB2312"/>
          <w:sz w:val="32"/>
          <w:szCs w:val="32"/>
        </w:rPr>
        <w:t>。</w:t>
      </w:r>
    </w:p>
    <w:p>
      <w:pPr>
        <w:widowControl/>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昌吉回族自治州民政局编制数 26人 ，实有人数 44 人，其中：在职 22 人，减少 4人； 退休 20 人，增加 2 人；离休 2 人，增加 0 人。</w:t>
      </w:r>
    </w:p>
    <w:p>
      <w:pPr>
        <w:widowControl/>
        <w:spacing w:before="120" w:beforeLines="50"/>
        <w:jc w:val="center"/>
        <w:outlineLvl w:val="1"/>
        <w:rPr>
          <w:rFonts w:ascii="黑体" w:hAnsi="黑体" w:eastAsia="黑体"/>
          <w:kern w:val="0"/>
          <w:sz w:val="32"/>
          <w:szCs w:val="32"/>
        </w:rPr>
      </w:pPr>
      <w:r>
        <w:rPr>
          <w:rFonts w:hint="eastAsia" w:ascii="黑体" w:hAnsi="黑体" w:eastAsia="黑体"/>
          <w:kern w:val="0"/>
          <w:sz w:val="32"/>
          <w:szCs w:val="32"/>
        </w:rPr>
        <w:t>第二部分  2020年部门预算公开表</w:t>
      </w:r>
    </w:p>
    <w:p>
      <w:pPr>
        <w:widowControl/>
        <w:spacing w:before="120"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部门收支总体情况表</w:t>
      </w:r>
    </w:p>
    <w:p>
      <w:pPr>
        <w:widowControl/>
        <w:outlineLvl w:val="1"/>
        <w:rPr>
          <w:rFonts w:ascii="仿宋_GB2312" w:hAnsi="宋体" w:eastAsia="仿宋_GB2312"/>
          <w:kern w:val="0"/>
          <w:sz w:val="24"/>
        </w:rPr>
      </w:pPr>
      <w:r>
        <w:rPr>
          <w:rFonts w:hint="eastAsia" w:ascii="仿宋_GB2312" w:hAnsi="宋体" w:eastAsia="仿宋_GB2312"/>
          <w:kern w:val="0"/>
          <w:sz w:val="24"/>
        </w:rPr>
        <w:t>编制部门： 昌吉回族自治州民政局                  单位：万元</w:t>
      </w:r>
    </w:p>
    <w:tbl>
      <w:tblPr>
        <w:tblStyle w:val="8"/>
        <w:tblW w:w="8662" w:type="dxa"/>
        <w:tblInd w:w="93" w:type="dxa"/>
        <w:tblLayout w:type="fixed"/>
        <w:tblCellMar>
          <w:top w:w="0" w:type="dxa"/>
          <w:left w:w="108" w:type="dxa"/>
          <w:bottom w:w="0" w:type="dxa"/>
          <w:right w:w="108" w:type="dxa"/>
        </w:tblCellMar>
      </w:tblPr>
      <w:tblGrid>
        <w:gridCol w:w="2280"/>
        <w:gridCol w:w="1988"/>
        <w:gridCol w:w="2693"/>
        <w:gridCol w:w="1701"/>
      </w:tblGrid>
      <w:tr>
        <w:tblPrEx>
          <w:tblCellMar>
            <w:top w:w="0" w:type="dxa"/>
            <w:left w:w="108" w:type="dxa"/>
            <w:bottom w:w="0" w:type="dxa"/>
            <w:right w:w="108" w:type="dxa"/>
          </w:tblCellMar>
        </w:tblPrEx>
        <w:trPr>
          <w:trHeight w:val="360" w:hRule="atLeast"/>
        </w:trPr>
        <w:tc>
          <w:tcPr>
            <w:tcW w:w="4268" w:type="dxa"/>
            <w:gridSpan w:val="2"/>
            <w:tcBorders>
              <w:top w:val="single" w:color="auto" w:sz="4" w:space="0"/>
              <w:left w:val="single" w:color="auto" w:sz="4" w:space="0"/>
              <w:bottom w:val="single" w:color="auto" w:sz="4" w:space="0"/>
              <w:right w:val="single" w:color="000000" w:sz="4" w:space="0"/>
            </w:tcBorders>
            <w:shd w:val="clear" w:color="auto" w:fill="auto"/>
            <w:noWrap/>
            <w:vAlign w:val="bottom"/>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收     入</w:t>
            </w:r>
          </w:p>
        </w:tc>
        <w:tc>
          <w:tcPr>
            <w:tcW w:w="4394" w:type="dxa"/>
            <w:gridSpan w:val="2"/>
            <w:tcBorders>
              <w:top w:val="single" w:color="auto" w:sz="4" w:space="0"/>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支     出</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988" w:type="dxa"/>
            <w:tcBorders>
              <w:top w:val="nil"/>
              <w:left w:val="nil"/>
              <w:bottom w:val="single" w:color="auto" w:sz="4" w:space="0"/>
              <w:right w:val="single" w:color="auto" w:sz="4" w:space="0"/>
            </w:tcBorders>
            <w:shd w:val="clear" w:color="auto" w:fill="auto"/>
            <w:noWrap/>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shd w:val="clear" w:color="auto" w:fill="auto"/>
            <w:noWrap/>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shd w:val="clear" w:color="auto" w:fill="auto"/>
            <w:noWrap/>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431.05</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431.05</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教育收费（财政专户）</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其他收入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用事业基金弥补收支差额</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431.05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230转移性支出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           计</w:t>
            </w:r>
          </w:p>
        </w:tc>
        <w:tc>
          <w:tcPr>
            <w:tcW w:w="1988"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431.05</w:t>
            </w:r>
          </w:p>
        </w:tc>
        <w:tc>
          <w:tcPr>
            <w:tcW w:w="2693" w:type="dxa"/>
            <w:tcBorders>
              <w:top w:val="nil"/>
              <w:left w:val="nil"/>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p>
        </w:tc>
        <w:tc>
          <w:tcPr>
            <w:tcW w:w="1701" w:type="dxa"/>
            <w:tcBorders>
              <w:top w:val="nil"/>
              <w:left w:val="nil"/>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431.05</w:t>
            </w:r>
          </w:p>
        </w:tc>
      </w:tr>
      <w:tr>
        <w:tblPrEx>
          <w:tblCellMar>
            <w:top w:w="0" w:type="dxa"/>
            <w:left w:w="108" w:type="dxa"/>
            <w:bottom w:w="0" w:type="dxa"/>
            <w:right w:w="108" w:type="dxa"/>
          </w:tblCellMar>
        </w:tblPrEx>
        <w:trPr>
          <w:trHeight w:val="360" w:hRule="atLeast"/>
        </w:trPr>
        <w:tc>
          <w:tcPr>
            <w:tcW w:w="2280" w:type="dxa"/>
            <w:tcBorders>
              <w:top w:val="nil"/>
              <w:left w:val="single" w:color="auto" w:sz="4" w:space="0"/>
              <w:bottom w:val="single" w:color="auto" w:sz="4" w:space="0"/>
              <w:right w:val="nil"/>
            </w:tcBorders>
            <w:shd w:val="clear" w:color="auto" w:fill="auto"/>
            <w:noWrap/>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18"/>
                <w:szCs w:val="18"/>
              </w:rPr>
              <w:t>单位上年结余（不包括国库集中支付额度结余）</w:t>
            </w:r>
          </w:p>
        </w:tc>
        <w:tc>
          <w:tcPr>
            <w:tcW w:w="1988"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center"/>
              <w:rPr>
                <w:rFonts w:ascii="仿宋_GB2312" w:hAnsi="宋体" w:eastAsia="仿宋_GB2312" w:cs="宋体"/>
                <w:kern w:val="0"/>
                <w:sz w:val="20"/>
                <w:szCs w:val="20"/>
              </w:rPr>
            </w:pPr>
          </w:p>
        </w:tc>
        <w:tc>
          <w:tcPr>
            <w:tcW w:w="1701"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65" w:hRule="atLeast"/>
        </w:trPr>
        <w:tc>
          <w:tcPr>
            <w:tcW w:w="2280" w:type="dxa"/>
            <w:tcBorders>
              <w:top w:val="nil"/>
              <w:left w:val="single" w:color="auto" w:sz="4" w:space="0"/>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收  入  总  计</w:t>
            </w:r>
          </w:p>
        </w:tc>
        <w:tc>
          <w:tcPr>
            <w:tcW w:w="1988"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431.05</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合  计</w:t>
            </w:r>
          </w:p>
        </w:tc>
        <w:tc>
          <w:tcPr>
            <w:tcW w:w="1701"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431.05</w:t>
            </w:r>
            <w:r>
              <w:rPr>
                <w:rFonts w:hint="eastAsia" w:ascii="仿宋_GB2312" w:hAnsi="宋体" w:eastAsia="仿宋_GB2312" w:cs="宋体"/>
                <w:kern w:val="0"/>
                <w:sz w:val="18"/>
                <w:szCs w:val="18"/>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部门收入总体情况表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填报部门：昌吉回族自治州民政局                单位：万元</w:t>
      </w:r>
    </w:p>
    <w:tbl>
      <w:tblPr>
        <w:tblStyle w:val="8"/>
        <w:tblW w:w="9654" w:type="dxa"/>
        <w:tblInd w:w="-450" w:type="dxa"/>
        <w:tblLayout w:type="fixed"/>
        <w:tblCellMar>
          <w:top w:w="0" w:type="dxa"/>
          <w:left w:w="108" w:type="dxa"/>
          <w:bottom w:w="0" w:type="dxa"/>
          <w:right w:w="108" w:type="dxa"/>
        </w:tblCellMar>
      </w:tblPr>
      <w:tblGrid>
        <w:gridCol w:w="417"/>
        <w:gridCol w:w="417"/>
        <w:gridCol w:w="417"/>
        <w:gridCol w:w="2145"/>
        <w:gridCol w:w="820"/>
        <w:gridCol w:w="680"/>
        <w:gridCol w:w="680"/>
        <w:gridCol w:w="680"/>
        <w:gridCol w:w="680"/>
        <w:gridCol w:w="680"/>
        <w:gridCol w:w="680"/>
        <w:gridCol w:w="680"/>
        <w:gridCol w:w="678"/>
      </w:tblGrid>
      <w:tr>
        <w:tblPrEx>
          <w:tblCellMar>
            <w:top w:w="0" w:type="dxa"/>
            <w:left w:w="108" w:type="dxa"/>
            <w:bottom w:w="0" w:type="dxa"/>
            <w:right w:w="108" w:type="dxa"/>
          </w:tblCellMar>
        </w:tblPrEx>
        <w:trPr>
          <w:trHeight w:val="510" w:hRule="atLeast"/>
        </w:trPr>
        <w:tc>
          <w:tcPr>
            <w:tcW w:w="125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2145"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82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  计</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财政专户管理资金</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事业收入</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其他收入</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用事业基金弥补收支差额</w:t>
            </w:r>
          </w:p>
        </w:tc>
        <w:tc>
          <w:tcPr>
            <w:tcW w:w="678"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单位上年结余（不包括国库集中支付额度结余）</w:t>
            </w:r>
          </w:p>
        </w:tc>
      </w:tr>
      <w:tr>
        <w:tblPrEx>
          <w:tblCellMar>
            <w:top w:w="0" w:type="dxa"/>
            <w:left w:w="108" w:type="dxa"/>
            <w:bottom w:w="0" w:type="dxa"/>
            <w:right w:w="108" w:type="dxa"/>
          </w:tblCellMar>
        </w:tblPrEx>
        <w:trPr>
          <w:trHeight w:val="1870"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类</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款</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项</w:t>
            </w:r>
          </w:p>
        </w:tc>
        <w:tc>
          <w:tcPr>
            <w:tcW w:w="214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82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7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208</w:t>
            </w: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02</w:t>
            </w: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p>
            <w:pPr>
              <w:jc w:val="center"/>
              <w:rPr>
                <w:rFonts w:ascii="仿宋_GB2312" w:hAnsi="宋体" w:eastAsia="仿宋_GB2312" w:cs="宋体"/>
                <w:color w:val="000000"/>
                <w:sz w:val="18"/>
                <w:szCs w:val="18"/>
              </w:rPr>
            </w:pPr>
          </w:p>
        </w:tc>
        <w:tc>
          <w:tcPr>
            <w:tcW w:w="214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行政运行</w:t>
            </w:r>
          </w:p>
        </w:tc>
        <w:tc>
          <w:tcPr>
            <w:tcW w:w="820"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380.05</w:t>
            </w:r>
          </w:p>
        </w:tc>
        <w:tc>
          <w:tcPr>
            <w:tcW w:w="680"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208</w:t>
            </w: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02</w:t>
            </w: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06</w:t>
            </w:r>
          </w:p>
          <w:p>
            <w:pPr>
              <w:jc w:val="center"/>
              <w:rPr>
                <w:rFonts w:ascii="仿宋_GB2312" w:hAnsi="宋体" w:eastAsia="仿宋_GB2312" w:cs="宋体"/>
                <w:color w:val="000000"/>
                <w:sz w:val="18"/>
                <w:szCs w:val="18"/>
              </w:rPr>
            </w:pPr>
          </w:p>
        </w:tc>
        <w:tc>
          <w:tcPr>
            <w:tcW w:w="214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社会组织管理</w:t>
            </w: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16</w:t>
            </w: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208</w:t>
            </w: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02</w:t>
            </w: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07</w:t>
            </w:r>
          </w:p>
        </w:tc>
        <w:tc>
          <w:tcPr>
            <w:tcW w:w="214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行政区划和地名管理</w:t>
            </w: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15</w:t>
            </w: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208</w:t>
            </w: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02</w:t>
            </w: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99</w:t>
            </w:r>
          </w:p>
        </w:tc>
        <w:tc>
          <w:tcPr>
            <w:tcW w:w="214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其他民政管理事务支出</w:t>
            </w: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w:t>
            </w: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214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214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214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214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214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214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214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214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214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214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214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214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eastAsia="仿宋_GB2312"/>
                <w:color w:val="000000"/>
                <w:sz w:val="18"/>
                <w:szCs w:val="18"/>
              </w:rPr>
              <w:t>合计</w:t>
            </w: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ascii="仿宋_GB2312" w:hAnsi="宋体" w:eastAsia="仿宋_GB2312" w:cs="宋体"/>
                <w:kern w:val="0"/>
                <w:sz w:val="18"/>
                <w:szCs w:val="18"/>
              </w:rPr>
              <w:t>431.05</w:t>
            </w:r>
            <w:r>
              <w:rPr>
                <w:rFonts w:hint="eastAsia" w:ascii="仿宋_GB2312" w:hAnsi="宋体" w:eastAsia="仿宋_GB2312" w:cs="宋体"/>
                <w:kern w:val="0"/>
                <w:sz w:val="18"/>
                <w:szCs w:val="18"/>
              </w:rPr>
              <w:t>　</w:t>
            </w: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部门支出总体情况表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编制部门：昌吉回族自治州民政局              单位：万元</w:t>
      </w:r>
    </w:p>
    <w:tbl>
      <w:tblPr>
        <w:tblStyle w:val="8"/>
        <w:tblW w:w="9420" w:type="dxa"/>
        <w:tblInd w:w="-240" w:type="dxa"/>
        <w:tblLayout w:type="fixed"/>
        <w:tblCellMar>
          <w:top w:w="0" w:type="dxa"/>
          <w:left w:w="108" w:type="dxa"/>
          <w:bottom w:w="0" w:type="dxa"/>
          <w:right w:w="108" w:type="dxa"/>
        </w:tblCellMar>
      </w:tblPr>
      <w:tblGrid>
        <w:gridCol w:w="521"/>
        <w:gridCol w:w="280"/>
        <w:gridCol w:w="400"/>
        <w:gridCol w:w="2604"/>
        <w:gridCol w:w="1855"/>
        <w:gridCol w:w="1856"/>
        <w:gridCol w:w="1904"/>
      </w:tblGrid>
      <w:tr>
        <w:tblPrEx>
          <w:tblCellMar>
            <w:top w:w="0" w:type="dxa"/>
            <w:left w:w="108" w:type="dxa"/>
            <w:bottom w:w="0" w:type="dxa"/>
            <w:right w:w="108" w:type="dxa"/>
          </w:tblCellMar>
        </w:tblPrEx>
        <w:trPr>
          <w:trHeight w:val="345" w:hRule="atLeast"/>
        </w:trPr>
        <w:tc>
          <w:tcPr>
            <w:tcW w:w="3805"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w:t>
            </w:r>
          </w:p>
        </w:tc>
        <w:tc>
          <w:tcPr>
            <w:tcW w:w="5615" w:type="dxa"/>
            <w:gridSpan w:val="3"/>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支出预算</w:t>
            </w:r>
          </w:p>
        </w:tc>
      </w:tr>
      <w:tr>
        <w:tblPrEx>
          <w:tblCellMar>
            <w:top w:w="0" w:type="dxa"/>
            <w:left w:w="108" w:type="dxa"/>
            <w:bottom w:w="0" w:type="dxa"/>
            <w:right w:w="108" w:type="dxa"/>
          </w:tblCellMar>
        </w:tblPrEx>
        <w:trPr>
          <w:trHeight w:val="480" w:hRule="atLeast"/>
        </w:trPr>
        <w:tc>
          <w:tcPr>
            <w:tcW w:w="120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功能分类科目编码</w:t>
            </w:r>
          </w:p>
        </w:tc>
        <w:tc>
          <w:tcPr>
            <w:tcW w:w="2604"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855"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合计</w:t>
            </w:r>
          </w:p>
        </w:tc>
        <w:tc>
          <w:tcPr>
            <w:tcW w:w="1856"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基本支出</w:t>
            </w:r>
          </w:p>
        </w:tc>
        <w:tc>
          <w:tcPr>
            <w:tcW w:w="1904"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项目支出</w:t>
            </w:r>
          </w:p>
        </w:tc>
      </w:tr>
      <w:tr>
        <w:tblPrEx>
          <w:tblCellMar>
            <w:top w:w="0" w:type="dxa"/>
            <w:left w:w="108" w:type="dxa"/>
            <w:bottom w:w="0" w:type="dxa"/>
            <w:right w:w="108" w:type="dxa"/>
          </w:tblCellMar>
        </w:tblPrEx>
        <w:trPr>
          <w:trHeight w:val="270" w:hRule="atLeast"/>
        </w:trPr>
        <w:tc>
          <w:tcPr>
            <w:tcW w:w="52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类</w:t>
            </w:r>
          </w:p>
        </w:tc>
        <w:tc>
          <w:tcPr>
            <w:tcW w:w="2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款</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项</w:t>
            </w:r>
          </w:p>
        </w:tc>
        <w:tc>
          <w:tcPr>
            <w:tcW w:w="2604"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855"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856"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904"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CellMar>
            <w:top w:w="0" w:type="dxa"/>
            <w:left w:w="108" w:type="dxa"/>
            <w:bottom w:w="0" w:type="dxa"/>
            <w:right w:w="108" w:type="dxa"/>
          </w:tblCellMar>
        </w:tblPrEx>
        <w:trPr>
          <w:trHeight w:val="405" w:hRule="atLeast"/>
        </w:trPr>
        <w:tc>
          <w:tcPr>
            <w:tcW w:w="521"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208</w:t>
            </w:r>
          </w:p>
        </w:tc>
        <w:tc>
          <w:tcPr>
            <w:tcW w:w="2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02</w:t>
            </w:r>
          </w:p>
        </w:tc>
        <w:tc>
          <w:tcPr>
            <w:tcW w:w="40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2604"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行政运行</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r>
              <w:rPr>
                <w:rFonts w:ascii="仿宋_GB2312" w:hAnsi="宋体" w:eastAsia="仿宋_GB2312" w:cs="宋体"/>
                <w:color w:val="000000"/>
                <w:sz w:val="18"/>
                <w:szCs w:val="18"/>
              </w:rPr>
              <w:t>380.05</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521"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208</w:t>
            </w:r>
          </w:p>
        </w:tc>
        <w:tc>
          <w:tcPr>
            <w:tcW w:w="2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02</w:t>
            </w:r>
          </w:p>
        </w:tc>
        <w:tc>
          <w:tcPr>
            <w:tcW w:w="40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06</w:t>
            </w:r>
          </w:p>
        </w:tc>
        <w:tc>
          <w:tcPr>
            <w:tcW w:w="2604"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社会组织管理</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16</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521"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208</w:t>
            </w:r>
          </w:p>
        </w:tc>
        <w:tc>
          <w:tcPr>
            <w:tcW w:w="2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02</w:t>
            </w:r>
          </w:p>
        </w:tc>
        <w:tc>
          <w:tcPr>
            <w:tcW w:w="40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07</w:t>
            </w:r>
          </w:p>
        </w:tc>
        <w:tc>
          <w:tcPr>
            <w:tcW w:w="2604"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行政区划和地名管理</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15</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521"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208</w:t>
            </w:r>
          </w:p>
        </w:tc>
        <w:tc>
          <w:tcPr>
            <w:tcW w:w="2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02</w:t>
            </w:r>
          </w:p>
        </w:tc>
        <w:tc>
          <w:tcPr>
            <w:tcW w:w="40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99</w:t>
            </w:r>
          </w:p>
        </w:tc>
        <w:tc>
          <w:tcPr>
            <w:tcW w:w="2604"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其他民政管理事务支出</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52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8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52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8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52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8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52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8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52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8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52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8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52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8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52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8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52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8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52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8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52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8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52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8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52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8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52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8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52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8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52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8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52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8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52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8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521"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color w:val="000000"/>
                <w:kern w:val="0"/>
                <w:sz w:val="18"/>
                <w:szCs w:val="18"/>
              </w:rPr>
            </w:pPr>
          </w:p>
        </w:tc>
        <w:tc>
          <w:tcPr>
            <w:tcW w:w="280"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合计</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kern w:val="0"/>
                <w:sz w:val="18"/>
                <w:szCs w:val="18"/>
              </w:rPr>
              <w:t>431.05</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spacing w:before="120"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pPr>
        <w:widowControl/>
        <w:spacing w:before="120" w:beforeLines="50"/>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120" w:beforeLines="50"/>
        <w:outlineLvl w:val="1"/>
        <w:rPr>
          <w:rFonts w:ascii="仿宋_GB2312" w:hAnsi="宋体" w:eastAsia="仿宋_GB2312"/>
          <w:kern w:val="0"/>
          <w:sz w:val="24"/>
        </w:rPr>
      </w:pPr>
      <w:r>
        <w:rPr>
          <w:rFonts w:hint="eastAsia" w:ascii="仿宋_GB2312" w:hAnsi="宋体" w:eastAsia="仿宋_GB2312"/>
          <w:kern w:val="0"/>
          <w:sz w:val="24"/>
        </w:rPr>
        <w:t>编制部门：昌吉回族自治州民政局              单位：万元</w:t>
      </w:r>
    </w:p>
    <w:tbl>
      <w:tblPr>
        <w:tblStyle w:val="8"/>
        <w:tblW w:w="9449" w:type="dxa"/>
        <w:tblInd w:w="-240" w:type="dxa"/>
        <w:tblLayout w:type="fixed"/>
        <w:tblCellMar>
          <w:top w:w="0" w:type="dxa"/>
          <w:left w:w="108" w:type="dxa"/>
          <w:bottom w:w="0" w:type="dxa"/>
          <w:right w:w="108" w:type="dxa"/>
        </w:tblCellMar>
      </w:tblPr>
      <w:tblGrid>
        <w:gridCol w:w="1620"/>
        <w:gridCol w:w="1230"/>
        <w:gridCol w:w="2580"/>
        <w:gridCol w:w="1418"/>
        <w:gridCol w:w="1275"/>
        <w:gridCol w:w="1326"/>
      </w:tblGrid>
      <w:tr>
        <w:tblPrEx>
          <w:tblCellMar>
            <w:top w:w="0" w:type="dxa"/>
            <w:left w:w="108" w:type="dxa"/>
            <w:bottom w:w="0" w:type="dxa"/>
            <w:right w:w="108" w:type="dxa"/>
          </w:tblCellMar>
        </w:tblPrEx>
        <w:trPr>
          <w:trHeight w:val="285" w:hRule="atLeast"/>
        </w:trPr>
        <w:tc>
          <w:tcPr>
            <w:tcW w:w="2850" w:type="dxa"/>
            <w:gridSpan w:val="2"/>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599" w:type="dxa"/>
            <w:gridSpan w:val="4"/>
            <w:tcBorders>
              <w:top w:val="single" w:color="auto" w:sz="4" w:space="0"/>
              <w:left w:val="nil"/>
              <w:bottom w:val="single" w:color="auto" w:sz="4" w:space="0"/>
              <w:right w:val="single" w:color="000000" w:sz="4" w:space="0"/>
            </w:tcBorders>
            <w:shd w:val="clear" w:color="auto" w:fill="auto"/>
            <w:noWrap/>
            <w:vAlign w:val="center"/>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tblPrEx>
          <w:tblCellMar>
            <w:top w:w="0" w:type="dxa"/>
            <w:left w:w="108" w:type="dxa"/>
            <w:bottom w:w="0" w:type="dxa"/>
            <w:right w:w="108" w:type="dxa"/>
          </w:tblCellMar>
        </w:tblPrEx>
        <w:trPr>
          <w:trHeight w:val="465" w:hRule="atLeas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23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258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23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431.05</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123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431.05</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123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431.05</w:t>
            </w: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431.05</w:t>
            </w: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5"/>
                <w:szCs w:val="15"/>
              </w:rPr>
            </w:pPr>
            <w:r>
              <w:rPr>
                <w:rFonts w:hint="eastAsia" w:ascii="仿宋_GB2312" w:hAnsi="宋体" w:eastAsia="仿宋_GB2312" w:cs="宋体"/>
                <w:kern w:val="0"/>
                <w:sz w:val="18"/>
                <w:szCs w:val="18"/>
              </w:rPr>
              <w:t>211 节能环保支出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5"/>
                <w:szCs w:val="15"/>
              </w:rPr>
            </w:pPr>
            <w:r>
              <w:rPr>
                <w:rFonts w:hint="eastAsia" w:ascii="仿宋_GB2312" w:hAnsi="宋体" w:eastAsia="仿宋_GB2312" w:cs="宋体"/>
                <w:kern w:val="0"/>
                <w:sz w:val="18"/>
                <w:szCs w:val="18"/>
              </w:rPr>
              <w:t>227 预备费</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kern w:val="0"/>
                <w:sz w:val="18"/>
                <w:szCs w:val="18"/>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kern w:val="0"/>
                <w:sz w:val="18"/>
                <w:szCs w:val="18"/>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收  入  总  计</w:t>
            </w:r>
          </w:p>
        </w:tc>
        <w:tc>
          <w:tcPr>
            <w:tcW w:w="123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431.05</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431.05</w:t>
            </w: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431.05</w:t>
            </w: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kern w:val="0"/>
                <w:sz w:val="18"/>
                <w:szCs w:val="18"/>
              </w:rPr>
            </w:pP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outlineLvl w:val="1"/>
        <w:rPr>
          <w:rFonts w:ascii="仿宋_GB2312" w:hAnsi="宋体" w:eastAsia="仿宋_GB2312"/>
          <w:b/>
          <w:kern w:val="0"/>
          <w:sz w:val="28"/>
          <w:szCs w:val="32"/>
        </w:rPr>
      </w:pPr>
    </w:p>
    <w:p>
      <w:pPr>
        <w:widowControl/>
        <w:outlineLvl w:val="1"/>
        <w:rPr>
          <w:rFonts w:ascii="仿宋_GB2312" w:hAnsi="宋体" w:eastAsia="仿宋_GB2312"/>
          <w:b/>
          <w:kern w:val="0"/>
          <w:sz w:val="28"/>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8"/>
        <w:tblW w:w="9214" w:type="dxa"/>
        <w:tblInd w:w="-34" w:type="dxa"/>
        <w:tblLayout w:type="fixed"/>
        <w:tblCellMar>
          <w:top w:w="0" w:type="dxa"/>
          <w:left w:w="108" w:type="dxa"/>
          <w:bottom w:w="0" w:type="dxa"/>
          <w:right w:w="108" w:type="dxa"/>
        </w:tblCellMar>
      </w:tblPr>
      <w:tblGrid>
        <w:gridCol w:w="568"/>
        <w:gridCol w:w="492"/>
        <w:gridCol w:w="417"/>
        <w:gridCol w:w="2510"/>
        <w:gridCol w:w="660"/>
        <w:gridCol w:w="1024"/>
        <w:gridCol w:w="216"/>
        <w:gridCol w:w="1626"/>
        <w:gridCol w:w="1701"/>
      </w:tblGrid>
      <w:tr>
        <w:tblPrEx>
          <w:tblCellMar>
            <w:top w:w="0" w:type="dxa"/>
            <w:left w:w="108" w:type="dxa"/>
            <w:bottom w:w="0" w:type="dxa"/>
            <w:right w:w="108" w:type="dxa"/>
          </w:tblCellMar>
        </w:tblPrEx>
        <w:trPr>
          <w:trHeight w:val="450" w:hRule="atLeast"/>
        </w:trPr>
        <w:tc>
          <w:tcPr>
            <w:tcW w:w="9214" w:type="dxa"/>
            <w:gridSpan w:val="9"/>
            <w:tcBorders>
              <w:top w:val="nil"/>
              <w:left w:val="nil"/>
              <w:bottom w:val="nil"/>
              <w:right w:val="nil"/>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tblPrEx>
          <w:tblCellMar>
            <w:top w:w="0" w:type="dxa"/>
            <w:left w:w="108" w:type="dxa"/>
            <w:bottom w:w="0" w:type="dxa"/>
            <w:right w:w="108" w:type="dxa"/>
          </w:tblCellMar>
        </w:tblPrEx>
        <w:trPr>
          <w:trHeight w:val="285" w:hRule="atLeast"/>
        </w:trPr>
        <w:tc>
          <w:tcPr>
            <w:tcW w:w="3987" w:type="dxa"/>
            <w:gridSpan w:val="4"/>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w:t>
            </w:r>
            <w:r>
              <w:rPr>
                <w:rFonts w:hint="eastAsia" w:ascii="仿宋_GB2312" w:hAnsi="宋体" w:eastAsia="仿宋_GB2312"/>
                <w:kern w:val="0"/>
                <w:sz w:val="24"/>
              </w:rPr>
              <w:t>昌吉回族自治州民政局</w:t>
            </w:r>
          </w:p>
        </w:tc>
        <w:tc>
          <w:tcPr>
            <w:tcW w:w="660" w:type="dxa"/>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p>
        </w:tc>
        <w:tc>
          <w:tcPr>
            <w:tcW w:w="1240" w:type="dxa"/>
            <w:gridSpan w:val="2"/>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3327" w:type="dxa"/>
            <w:gridSpan w:val="2"/>
            <w:tcBorders>
              <w:top w:val="nil"/>
              <w:left w:val="nil"/>
              <w:bottom w:val="nil"/>
              <w:right w:val="nil"/>
            </w:tcBorders>
            <w:shd w:val="clear" w:color="auto" w:fill="auto"/>
            <w:noWrap/>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CellMar>
            <w:top w:w="0" w:type="dxa"/>
            <w:left w:w="108" w:type="dxa"/>
            <w:bottom w:w="0" w:type="dxa"/>
            <w:right w:w="108" w:type="dxa"/>
          </w:tblCellMar>
        </w:tblPrEx>
        <w:trPr>
          <w:trHeight w:val="405" w:hRule="atLeast"/>
        </w:trPr>
        <w:tc>
          <w:tcPr>
            <w:tcW w:w="3987" w:type="dxa"/>
            <w:gridSpan w:val="4"/>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项目</w:t>
            </w:r>
          </w:p>
        </w:tc>
        <w:tc>
          <w:tcPr>
            <w:tcW w:w="5227" w:type="dxa"/>
            <w:gridSpan w:val="5"/>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CellMar>
            <w:top w:w="0" w:type="dxa"/>
            <w:left w:w="108" w:type="dxa"/>
            <w:bottom w:w="0" w:type="dxa"/>
            <w:right w:w="108" w:type="dxa"/>
          </w:tblCellMar>
        </w:tblPrEx>
        <w:trPr>
          <w:trHeight w:val="465" w:hRule="atLeast"/>
        </w:trPr>
        <w:tc>
          <w:tcPr>
            <w:tcW w:w="1477"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51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小计</w:t>
            </w:r>
          </w:p>
        </w:tc>
        <w:tc>
          <w:tcPr>
            <w:tcW w:w="1842"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CellMar>
            <w:top w:w="0" w:type="dxa"/>
            <w:left w:w="108" w:type="dxa"/>
            <w:bottom w:w="0" w:type="dxa"/>
            <w:right w:w="108" w:type="dxa"/>
          </w:tblCellMar>
        </w:tblPrEx>
        <w:trPr>
          <w:trHeight w:val="30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51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84"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208</w:t>
            </w: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02</w:t>
            </w: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01</w:t>
            </w: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行政运行</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380.05</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18"/>
                <w:szCs w:val="18"/>
              </w:rPr>
            </w:pPr>
            <w:r>
              <w:rPr>
                <w:rFonts w:hint="eastAsia" w:ascii="仿宋_GB2312" w:hAnsi="宋体" w:eastAsia="仿宋_GB2312" w:cs="宋体"/>
                <w:b/>
                <w:color w:val="000000"/>
                <w:kern w:val="0"/>
                <w:sz w:val="18"/>
                <w:szCs w:val="18"/>
              </w:rPr>
              <w:t>380.05</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208</w:t>
            </w: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02</w:t>
            </w: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06</w:t>
            </w: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sz w:val="18"/>
                <w:szCs w:val="18"/>
              </w:rPr>
              <w:t>社会组织管理</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16</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16</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208</w:t>
            </w: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02</w:t>
            </w: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07</w:t>
            </w: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sz w:val="18"/>
                <w:szCs w:val="18"/>
              </w:rPr>
              <w:t>行政区划和地名管理</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15</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15</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208</w:t>
            </w: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02</w:t>
            </w: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99</w:t>
            </w: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sz w:val="18"/>
                <w:szCs w:val="18"/>
              </w:rPr>
              <w:t>其他民政管理事务支出</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20</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20</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合计</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431.05</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380.05</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51</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8"/>
        <w:tblW w:w="9328" w:type="dxa"/>
        <w:tblInd w:w="-148" w:type="dxa"/>
        <w:tblLayout w:type="fixed"/>
        <w:tblCellMar>
          <w:top w:w="0" w:type="dxa"/>
          <w:left w:w="108" w:type="dxa"/>
          <w:bottom w:w="0" w:type="dxa"/>
          <w:right w:w="108" w:type="dxa"/>
        </w:tblCellMar>
      </w:tblPr>
      <w:tblGrid>
        <w:gridCol w:w="757"/>
        <w:gridCol w:w="577"/>
        <w:gridCol w:w="2891"/>
        <w:gridCol w:w="995"/>
        <w:gridCol w:w="706"/>
        <w:gridCol w:w="976"/>
        <w:gridCol w:w="725"/>
        <w:gridCol w:w="1701"/>
      </w:tblGrid>
      <w:tr>
        <w:tblPrEx>
          <w:tblCellMar>
            <w:top w:w="0" w:type="dxa"/>
            <w:left w:w="108" w:type="dxa"/>
            <w:bottom w:w="0" w:type="dxa"/>
            <w:right w:w="108" w:type="dxa"/>
          </w:tblCellMar>
        </w:tblPrEx>
        <w:trPr>
          <w:trHeight w:val="375" w:hRule="atLeast"/>
        </w:trPr>
        <w:tc>
          <w:tcPr>
            <w:tcW w:w="9328" w:type="dxa"/>
            <w:gridSpan w:val="8"/>
            <w:tcBorders>
              <w:top w:val="nil"/>
              <w:left w:val="nil"/>
              <w:bottom w:val="nil"/>
              <w:right w:val="nil"/>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tblPrEx>
          <w:tblCellMar>
            <w:top w:w="0" w:type="dxa"/>
            <w:left w:w="108" w:type="dxa"/>
            <w:bottom w:w="0" w:type="dxa"/>
            <w:right w:w="108" w:type="dxa"/>
          </w:tblCellMar>
        </w:tblPrEx>
        <w:trPr>
          <w:trHeight w:val="405" w:hRule="atLeast"/>
        </w:trPr>
        <w:tc>
          <w:tcPr>
            <w:tcW w:w="4225" w:type="dxa"/>
            <w:gridSpan w:val="3"/>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w:t>
            </w:r>
            <w:r>
              <w:rPr>
                <w:rFonts w:hint="eastAsia" w:ascii="仿宋_GB2312" w:hAnsi="宋体" w:eastAsia="仿宋_GB2312"/>
                <w:kern w:val="0"/>
                <w:sz w:val="24"/>
              </w:rPr>
              <w:t>昌吉回族自治州民政局</w:t>
            </w:r>
          </w:p>
        </w:tc>
        <w:tc>
          <w:tcPr>
            <w:tcW w:w="995" w:type="dxa"/>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p>
        </w:tc>
        <w:tc>
          <w:tcPr>
            <w:tcW w:w="1682" w:type="dxa"/>
            <w:gridSpan w:val="2"/>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2"/>
            <w:tcBorders>
              <w:top w:val="nil"/>
              <w:left w:val="nil"/>
              <w:bottom w:val="nil"/>
              <w:right w:val="nil"/>
            </w:tcBorders>
            <w:shd w:val="clear" w:color="auto" w:fill="auto"/>
            <w:noWrap/>
            <w:vAlign w:val="center"/>
          </w:tcPr>
          <w:p>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CellMar>
            <w:top w:w="0" w:type="dxa"/>
            <w:left w:w="108" w:type="dxa"/>
            <w:bottom w:w="0" w:type="dxa"/>
            <w:right w:w="108" w:type="dxa"/>
          </w:tblCellMar>
        </w:tblPrEx>
        <w:trPr>
          <w:trHeight w:val="390" w:hRule="atLeast"/>
        </w:trPr>
        <w:tc>
          <w:tcPr>
            <w:tcW w:w="4225"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103" w:type="dxa"/>
            <w:gridSpan w:val="5"/>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CellMar>
            <w:top w:w="0" w:type="dxa"/>
            <w:left w:w="108" w:type="dxa"/>
            <w:bottom w:w="0" w:type="dxa"/>
            <w:right w:w="108" w:type="dxa"/>
          </w:tblCellMar>
        </w:tblPrEx>
        <w:trPr>
          <w:trHeight w:val="495" w:hRule="atLeast"/>
        </w:trPr>
        <w:tc>
          <w:tcPr>
            <w:tcW w:w="1334" w:type="dxa"/>
            <w:gridSpan w:val="2"/>
            <w:tcBorders>
              <w:top w:val="single" w:color="auto" w:sz="4" w:space="0"/>
              <w:left w:val="single" w:color="auto" w:sz="4" w:space="0"/>
              <w:bottom w:val="single" w:color="auto" w:sz="4" w:space="0"/>
              <w:right w:val="nil"/>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89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701"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小计</w:t>
            </w:r>
          </w:p>
        </w:tc>
        <w:tc>
          <w:tcPr>
            <w:tcW w:w="1701"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CellMar>
            <w:top w:w="0" w:type="dxa"/>
            <w:left w:w="108" w:type="dxa"/>
            <w:bottom w:w="0" w:type="dxa"/>
            <w:right w:w="108" w:type="dxa"/>
          </w:tblCellMar>
        </w:tblPrEx>
        <w:trPr>
          <w:trHeight w:val="270"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89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CellMar>
            <w:top w:w="0" w:type="dxa"/>
            <w:left w:w="108" w:type="dxa"/>
            <w:bottom w:w="0" w:type="dxa"/>
            <w:right w:w="108" w:type="dxa"/>
          </w:tblCellMar>
        </w:tblPrEx>
        <w:trPr>
          <w:trHeight w:val="353"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01</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基本工资</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120.29</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120.29</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31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02</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津贴补贴</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38.96</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38.96</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327"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03</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奖金</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8.38</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8.38</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357"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06</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伙食补助费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28.98</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28.98</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357"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07</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绩效工资</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22.47</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22.47</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37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08</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机关事业单位基本养老保险缴费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30.42</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30.42</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327"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职工基本医疗保险缴费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24.38</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24.38</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34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11</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公务员医疗补助缴费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10.27</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10.27</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357"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12</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其他社会保障缴费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0.91</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0.91</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34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13</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住房公积金</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22.81</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22.81</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357"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99</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其他工资福利支出</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2.61</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2.61</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34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30</w:t>
            </w:r>
            <w:r>
              <w:rPr>
                <w:rFonts w:hint="eastAsia" w:ascii="仿宋_GB2312" w:hAnsi="宋体" w:eastAsia="仿宋_GB2312" w:cs="宋体"/>
                <w:color w:val="000000"/>
                <w:kern w:val="0"/>
                <w:sz w:val="18"/>
                <w:szCs w:val="18"/>
              </w:rPr>
              <w:t>2</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01</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办公费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5.64</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5.64</w:t>
            </w:r>
          </w:p>
        </w:tc>
      </w:tr>
      <w:tr>
        <w:tblPrEx>
          <w:tblCellMar>
            <w:top w:w="0" w:type="dxa"/>
            <w:left w:w="108" w:type="dxa"/>
            <w:bottom w:w="0" w:type="dxa"/>
            <w:right w:w="108" w:type="dxa"/>
          </w:tblCellMar>
        </w:tblPrEx>
        <w:trPr>
          <w:trHeight w:val="327"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30</w:t>
            </w:r>
            <w:r>
              <w:rPr>
                <w:rFonts w:hint="eastAsia" w:ascii="仿宋_GB2312" w:hAnsi="宋体" w:eastAsia="仿宋_GB2312" w:cs="宋体"/>
                <w:color w:val="000000"/>
                <w:kern w:val="0"/>
                <w:sz w:val="18"/>
                <w:szCs w:val="18"/>
              </w:rPr>
              <w:t>2</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02</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印刷费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2</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2</w:t>
            </w:r>
          </w:p>
        </w:tc>
      </w:tr>
      <w:tr>
        <w:tblPrEx>
          <w:tblCellMar>
            <w:top w:w="0" w:type="dxa"/>
            <w:left w:w="108" w:type="dxa"/>
            <w:bottom w:w="0" w:type="dxa"/>
            <w:right w:w="108" w:type="dxa"/>
          </w:tblCellMar>
        </w:tblPrEx>
        <w:trPr>
          <w:trHeight w:val="357"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05</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水费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0.4</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0.4</w:t>
            </w:r>
          </w:p>
        </w:tc>
      </w:tr>
      <w:tr>
        <w:tblPrEx>
          <w:tblCellMar>
            <w:top w:w="0" w:type="dxa"/>
            <w:left w:w="108" w:type="dxa"/>
            <w:bottom w:w="0" w:type="dxa"/>
            <w:right w:w="108" w:type="dxa"/>
          </w:tblCellMar>
        </w:tblPrEx>
        <w:trPr>
          <w:trHeight w:val="297"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06</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电费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0.6</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0.6</w:t>
            </w:r>
          </w:p>
        </w:tc>
      </w:tr>
      <w:tr>
        <w:tblPrEx>
          <w:tblCellMar>
            <w:top w:w="0" w:type="dxa"/>
            <w:left w:w="108" w:type="dxa"/>
            <w:bottom w:w="0" w:type="dxa"/>
            <w:right w:w="108" w:type="dxa"/>
          </w:tblCellMar>
        </w:tblPrEx>
        <w:trPr>
          <w:trHeight w:val="327"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07</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邮电费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4</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4</w:t>
            </w:r>
          </w:p>
        </w:tc>
      </w:tr>
      <w:tr>
        <w:tblPrEx>
          <w:tblCellMar>
            <w:top w:w="0" w:type="dxa"/>
            <w:left w:w="108" w:type="dxa"/>
            <w:bottom w:w="0" w:type="dxa"/>
            <w:right w:w="108" w:type="dxa"/>
          </w:tblCellMar>
        </w:tblPrEx>
        <w:trPr>
          <w:trHeight w:val="37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09</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物业管理费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4</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4</w:t>
            </w:r>
          </w:p>
        </w:tc>
      </w:tr>
      <w:tr>
        <w:tblPrEx>
          <w:tblCellMar>
            <w:top w:w="0" w:type="dxa"/>
            <w:left w:w="108" w:type="dxa"/>
            <w:bottom w:w="0" w:type="dxa"/>
            <w:right w:w="108" w:type="dxa"/>
          </w:tblCellMar>
        </w:tblPrEx>
        <w:trPr>
          <w:trHeight w:val="327"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11</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差旅费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2</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2</w:t>
            </w:r>
          </w:p>
        </w:tc>
      </w:tr>
      <w:tr>
        <w:tblPrEx>
          <w:tblCellMar>
            <w:top w:w="0" w:type="dxa"/>
            <w:left w:w="108" w:type="dxa"/>
            <w:bottom w:w="0" w:type="dxa"/>
            <w:right w:w="108" w:type="dxa"/>
          </w:tblCellMar>
        </w:tblPrEx>
        <w:trPr>
          <w:trHeight w:val="357"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16</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培训费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0.67</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0.67</w:t>
            </w:r>
          </w:p>
        </w:tc>
      </w:tr>
      <w:tr>
        <w:tblPrEx>
          <w:tblCellMar>
            <w:top w:w="0" w:type="dxa"/>
            <w:left w:w="108" w:type="dxa"/>
            <w:bottom w:w="0" w:type="dxa"/>
            <w:right w:w="108" w:type="dxa"/>
          </w:tblCellMar>
        </w:tblPrEx>
        <w:trPr>
          <w:trHeight w:val="37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28</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工会经费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2.41</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2.41</w:t>
            </w:r>
          </w:p>
        </w:tc>
      </w:tr>
      <w:tr>
        <w:tblPrEx>
          <w:tblCellMar>
            <w:top w:w="0" w:type="dxa"/>
            <w:left w:w="108" w:type="dxa"/>
            <w:bottom w:w="0" w:type="dxa"/>
            <w:right w:w="108" w:type="dxa"/>
          </w:tblCellMar>
        </w:tblPrEx>
        <w:trPr>
          <w:trHeight w:val="37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29</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福利费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5.53</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5.53</w:t>
            </w:r>
          </w:p>
        </w:tc>
      </w:tr>
      <w:tr>
        <w:tblPrEx>
          <w:tblCellMar>
            <w:top w:w="0" w:type="dxa"/>
            <w:left w:w="108" w:type="dxa"/>
            <w:bottom w:w="0" w:type="dxa"/>
            <w:right w:w="108" w:type="dxa"/>
          </w:tblCellMar>
        </w:tblPrEx>
        <w:trPr>
          <w:trHeight w:val="34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31</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公务车运行维护费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6.1</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6.1</w:t>
            </w:r>
          </w:p>
        </w:tc>
      </w:tr>
      <w:tr>
        <w:tblPrEx>
          <w:tblCellMar>
            <w:top w:w="0" w:type="dxa"/>
            <w:left w:w="108" w:type="dxa"/>
            <w:bottom w:w="0" w:type="dxa"/>
            <w:right w:w="108" w:type="dxa"/>
          </w:tblCellMar>
        </w:tblPrEx>
        <w:trPr>
          <w:trHeight w:val="34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99</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其他商品和服务支出</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6.13</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6.13</w:t>
            </w:r>
          </w:p>
        </w:tc>
      </w:tr>
      <w:tr>
        <w:tblPrEx>
          <w:tblCellMar>
            <w:top w:w="0" w:type="dxa"/>
            <w:left w:w="108" w:type="dxa"/>
            <w:bottom w:w="0" w:type="dxa"/>
            <w:right w:w="108" w:type="dxa"/>
          </w:tblCellMar>
        </w:tblPrEx>
        <w:trPr>
          <w:trHeight w:val="327"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303</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01</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离休费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23.71</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23.71</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357"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303</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09</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奖励金</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1.98</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1.98</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357"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303</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14</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其他对个人和家庭的补助</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4.4</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4.4</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38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合计</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380.05</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340.57</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39.48</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8"/>
        <w:tblW w:w="9540" w:type="dxa"/>
        <w:tblInd w:w="-360" w:type="dxa"/>
        <w:tblLayout w:type="fixed"/>
        <w:tblCellMar>
          <w:top w:w="0" w:type="dxa"/>
          <w:left w:w="108" w:type="dxa"/>
          <w:bottom w:w="0" w:type="dxa"/>
          <w:right w:w="108" w:type="dxa"/>
        </w:tblCellMar>
      </w:tblPr>
      <w:tblGrid>
        <w:gridCol w:w="8"/>
        <w:gridCol w:w="389"/>
        <w:gridCol w:w="397"/>
        <w:gridCol w:w="397"/>
        <w:gridCol w:w="851"/>
        <w:gridCol w:w="1456"/>
        <w:gridCol w:w="750"/>
        <w:gridCol w:w="110"/>
        <w:gridCol w:w="459"/>
        <w:gridCol w:w="536"/>
        <w:gridCol w:w="652"/>
        <w:gridCol w:w="652"/>
        <w:gridCol w:w="378"/>
        <w:gridCol w:w="200"/>
        <w:gridCol w:w="419"/>
        <w:gridCol w:w="578"/>
        <w:gridCol w:w="420"/>
        <w:gridCol w:w="420"/>
        <w:gridCol w:w="389"/>
        <w:gridCol w:w="79"/>
      </w:tblGrid>
      <w:tr>
        <w:tblPrEx>
          <w:tblCellMar>
            <w:top w:w="0" w:type="dxa"/>
            <w:left w:w="108" w:type="dxa"/>
            <w:bottom w:w="0" w:type="dxa"/>
            <w:right w:w="108" w:type="dxa"/>
          </w:tblCellMar>
        </w:tblPrEx>
        <w:trPr>
          <w:gridBefore w:val="1"/>
          <w:gridAfter w:val="1"/>
          <w:wBefore w:w="8" w:type="dxa"/>
          <w:wAfter w:w="79" w:type="dxa"/>
          <w:trHeight w:val="375" w:hRule="atLeast"/>
        </w:trPr>
        <w:tc>
          <w:tcPr>
            <w:tcW w:w="9453" w:type="dxa"/>
            <w:gridSpan w:val="18"/>
            <w:tcBorders>
              <w:top w:val="nil"/>
              <w:left w:val="nil"/>
              <w:bottom w:val="nil"/>
              <w:right w:val="nil"/>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项目支出情况表</w:t>
            </w:r>
          </w:p>
        </w:tc>
      </w:tr>
      <w:tr>
        <w:tblPrEx>
          <w:tblCellMar>
            <w:top w:w="0" w:type="dxa"/>
            <w:left w:w="108" w:type="dxa"/>
            <w:bottom w:w="0" w:type="dxa"/>
            <w:right w:w="108" w:type="dxa"/>
          </w:tblCellMar>
        </w:tblPrEx>
        <w:trPr>
          <w:gridBefore w:val="1"/>
          <w:gridAfter w:val="1"/>
          <w:wBefore w:w="8" w:type="dxa"/>
          <w:wAfter w:w="79" w:type="dxa"/>
          <w:trHeight w:val="405" w:hRule="atLeast"/>
        </w:trPr>
        <w:tc>
          <w:tcPr>
            <w:tcW w:w="4350" w:type="dxa"/>
            <w:gridSpan w:val="7"/>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编制部门：昌吉回族自治州民政局</w:t>
            </w:r>
          </w:p>
        </w:tc>
        <w:tc>
          <w:tcPr>
            <w:tcW w:w="995" w:type="dxa"/>
            <w:gridSpan w:val="2"/>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p>
        </w:tc>
        <w:tc>
          <w:tcPr>
            <w:tcW w:w="1682" w:type="dxa"/>
            <w:gridSpan w:val="3"/>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6"/>
            <w:tcBorders>
              <w:top w:val="nil"/>
              <w:left w:val="nil"/>
              <w:bottom w:val="nil"/>
              <w:right w:val="nil"/>
            </w:tcBorders>
            <w:shd w:val="clear" w:color="auto" w:fill="auto"/>
            <w:noWrap/>
            <w:vAlign w:val="center"/>
          </w:tcPr>
          <w:p>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191" w:type="dxa"/>
            <w:gridSpan w:val="4"/>
            <w:shd w:val="clear" w:color="auto" w:fill="auto"/>
            <w:noWrap/>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851" w:type="dxa"/>
            <w:vMerge w:val="restart"/>
            <w:shd w:val="clear" w:color="auto" w:fill="auto"/>
            <w:noWrap/>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456" w:type="dxa"/>
            <w:vMerge w:val="restart"/>
            <w:shd w:val="clear" w:color="auto" w:fill="auto"/>
            <w:noWrap/>
            <w:vAlign w:val="center"/>
          </w:tcPr>
          <w:p>
            <w:pPr>
              <w:jc w:val="center"/>
              <w:rPr>
                <w:rFonts w:ascii="Calibri" w:hAnsi="Calibri"/>
                <w:sz w:val="24"/>
              </w:rPr>
            </w:pPr>
            <w:r>
              <w:rPr>
                <w:rFonts w:hint="eastAsia" w:ascii="仿宋_GB2312" w:hAnsi="宋体" w:eastAsia="仿宋_GB2312"/>
                <w:b/>
                <w:kern w:val="0"/>
                <w:sz w:val="24"/>
              </w:rPr>
              <w:t>项目名称</w:t>
            </w:r>
          </w:p>
        </w:tc>
        <w:tc>
          <w:tcPr>
            <w:tcW w:w="750"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69" w:type="dxa"/>
            <w:gridSpan w:val="2"/>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36"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652"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52"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2"/>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468" w:type="dxa"/>
            <w:gridSpan w:val="2"/>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7" w:hRule="atLeast"/>
        </w:trPr>
        <w:tc>
          <w:tcPr>
            <w:tcW w:w="397" w:type="dxa"/>
            <w:gridSpan w:val="2"/>
            <w:tcBorders>
              <w:bottom w:val="single" w:color="auto" w:sz="4" w:space="0"/>
            </w:tcBorders>
            <w:shd w:val="clear" w:color="auto" w:fill="auto"/>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397" w:type="dxa"/>
            <w:tcBorders>
              <w:bottom w:val="single" w:color="auto" w:sz="4" w:space="0"/>
            </w:tcBorders>
            <w:shd w:val="clear" w:color="auto" w:fill="auto"/>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397" w:type="dxa"/>
            <w:tcBorders>
              <w:bottom w:val="single" w:color="auto" w:sz="4" w:space="0"/>
            </w:tcBorders>
            <w:shd w:val="clear" w:color="auto" w:fill="auto"/>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851" w:type="dxa"/>
            <w:vMerge w:val="continue"/>
            <w:tcBorders>
              <w:bottom w:val="single" w:color="auto" w:sz="4" w:space="0"/>
            </w:tcBorders>
            <w:shd w:val="clear" w:color="auto" w:fill="auto"/>
            <w:vAlign w:val="center"/>
          </w:tcPr>
          <w:p>
            <w:pPr>
              <w:widowControl/>
              <w:jc w:val="left"/>
              <w:outlineLvl w:val="1"/>
              <w:rPr>
                <w:rFonts w:ascii="仿宋_GB2312" w:hAnsi="宋体" w:eastAsia="仿宋_GB2312"/>
                <w:b/>
                <w:kern w:val="0"/>
                <w:sz w:val="18"/>
                <w:szCs w:val="18"/>
              </w:rPr>
            </w:pPr>
          </w:p>
        </w:tc>
        <w:tc>
          <w:tcPr>
            <w:tcW w:w="1456"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750"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69" w:type="dxa"/>
            <w:gridSpan w:val="2"/>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36"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78" w:type="dxa"/>
            <w:gridSpan w:val="2"/>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19"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68" w:type="dxa"/>
            <w:gridSpan w:val="2"/>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shd w:val="clear" w:color="auto" w:fill="auto"/>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208</w:t>
            </w:r>
          </w:p>
        </w:tc>
        <w:tc>
          <w:tcPr>
            <w:tcW w:w="397" w:type="dxa"/>
            <w:shd w:val="clear" w:color="auto" w:fill="auto"/>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02</w:t>
            </w:r>
          </w:p>
        </w:tc>
        <w:tc>
          <w:tcPr>
            <w:tcW w:w="397" w:type="dxa"/>
            <w:shd w:val="clear" w:color="auto" w:fill="auto"/>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06</w:t>
            </w:r>
          </w:p>
        </w:tc>
        <w:tc>
          <w:tcPr>
            <w:tcW w:w="851" w:type="dxa"/>
            <w:shd w:val="clear" w:color="auto" w:fill="auto"/>
          </w:tcPr>
          <w:p>
            <w:pPr>
              <w:widowControl/>
              <w:jc w:val="center"/>
              <w:outlineLvl w:val="1"/>
              <w:rPr>
                <w:rFonts w:ascii="仿宋_GB2312" w:hAnsi="宋体" w:eastAsia="仿宋_GB2312"/>
                <w:kern w:val="0"/>
                <w:sz w:val="18"/>
                <w:szCs w:val="18"/>
              </w:rPr>
            </w:pPr>
            <w:r>
              <w:rPr>
                <w:rFonts w:ascii="仿宋_GB2312" w:hAnsi="宋体" w:eastAsia="仿宋_GB2312"/>
                <w:kern w:val="0"/>
                <w:sz w:val="18"/>
                <w:szCs w:val="18"/>
              </w:rPr>
              <w:t>社会组织管理</w:t>
            </w:r>
          </w:p>
        </w:tc>
        <w:tc>
          <w:tcPr>
            <w:tcW w:w="1456" w:type="dxa"/>
            <w:shd w:val="clear" w:color="auto" w:fill="auto"/>
          </w:tcPr>
          <w:p>
            <w:pPr>
              <w:widowControl/>
              <w:jc w:val="center"/>
              <w:outlineLvl w:val="1"/>
              <w:rPr>
                <w:rFonts w:ascii="仿宋_GB2312" w:hAnsi="宋体" w:eastAsia="仿宋_GB2312"/>
                <w:kern w:val="0"/>
                <w:sz w:val="18"/>
                <w:szCs w:val="18"/>
              </w:rPr>
            </w:pPr>
            <w:r>
              <w:rPr>
                <w:rFonts w:ascii="仿宋_GB2312" w:hAnsi="宋体" w:eastAsia="仿宋_GB2312"/>
                <w:kern w:val="0"/>
                <w:sz w:val="18"/>
                <w:szCs w:val="18"/>
              </w:rPr>
              <w:t>社会组织管理工作经费</w:t>
            </w:r>
          </w:p>
        </w:tc>
        <w:tc>
          <w:tcPr>
            <w:tcW w:w="750" w:type="dxa"/>
            <w:shd w:val="clear" w:color="auto" w:fill="auto"/>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5</w:t>
            </w:r>
          </w:p>
        </w:tc>
        <w:tc>
          <w:tcPr>
            <w:tcW w:w="569" w:type="dxa"/>
            <w:gridSpan w:val="2"/>
            <w:shd w:val="clear" w:color="auto" w:fill="auto"/>
          </w:tcPr>
          <w:p>
            <w:pPr>
              <w:widowControl/>
              <w:jc w:val="center"/>
              <w:outlineLvl w:val="1"/>
              <w:rPr>
                <w:rFonts w:ascii="仿宋_GB2312" w:hAnsi="宋体" w:eastAsia="仿宋_GB2312"/>
                <w:kern w:val="0"/>
                <w:sz w:val="18"/>
                <w:szCs w:val="18"/>
              </w:rPr>
            </w:pPr>
          </w:p>
        </w:tc>
        <w:tc>
          <w:tcPr>
            <w:tcW w:w="536" w:type="dxa"/>
            <w:shd w:val="clear" w:color="auto" w:fill="auto"/>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5</w:t>
            </w:r>
          </w:p>
        </w:tc>
        <w:tc>
          <w:tcPr>
            <w:tcW w:w="652"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578" w:type="dxa"/>
            <w:gridSpan w:val="2"/>
            <w:shd w:val="clear" w:color="auto" w:fill="auto"/>
          </w:tcPr>
          <w:p>
            <w:pPr>
              <w:widowControl/>
              <w:jc w:val="center"/>
              <w:outlineLvl w:val="1"/>
              <w:rPr>
                <w:rFonts w:ascii="仿宋_GB2312" w:hAnsi="宋体" w:eastAsia="仿宋_GB2312"/>
                <w:kern w:val="0"/>
                <w:sz w:val="18"/>
                <w:szCs w:val="18"/>
              </w:rPr>
            </w:pPr>
          </w:p>
        </w:tc>
        <w:tc>
          <w:tcPr>
            <w:tcW w:w="419" w:type="dxa"/>
            <w:shd w:val="clear" w:color="auto" w:fill="auto"/>
          </w:tcPr>
          <w:p>
            <w:pPr>
              <w:widowControl/>
              <w:jc w:val="center"/>
              <w:outlineLvl w:val="1"/>
              <w:rPr>
                <w:rFonts w:ascii="仿宋_GB2312" w:hAnsi="宋体" w:eastAsia="仿宋_GB2312"/>
                <w:kern w:val="0"/>
                <w:sz w:val="18"/>
                <w:szCs w:val="18"/>
              </w:rPr>
            </w:pPr>
          </w:p>
        </w:tc>
        <w:tc>
          <w:tcPr>
            <w:tcW w:w="578"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68" w:type="dxa"/>
            <w:gridSpan w:val="2"/>
            <w:shd w:val="clear" w:color="auto" w:fill="auto"/>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shd w:val="clear" w:color="auto" w:fill="auto"/>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208</w:t>
            </w:r>
          </w:p>
        </w:tc>
        <w:tc>
          <w:tcPr>
            <w:tcW w:w="397" w:type="dxa"/>
            <w:shd w:val="clear" w:color="auto" w:fill="auto"/>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02</w:t>
            </w:r>
          </w:p>
        </w:tc>
        <w:tc>
          <w:tcPr>
            <w:tcW w:w="397" w:type="dxa"/>
            <w:shd w:val="clear" w:color="auto" w:fill="auto"/>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06</w:t>
            </w:r>
          </w:p>
        </w:tc>
        <w:tc>
          <w:tcPr>
            <w:tcW w:w="851" w:type="dxa"/>
            <w:shd w:val="clear" w:color="auto" w:fill="auto"/>
          </w:tcPr>
          <w:p>
            <w:pPr>
              <w:widowControl/>
              <w:jc w:val="center"/>
              <w:outlineLvl w:val="1"/>
              <w:rPr>
                <w:rFonts w:ascii="仿宋_GB2312" w:hAnsi="宋体" w:eastAsia="仿宋_GB2312"/>
                <w:kern w:val="0"/>
                <w:sz w:val="18"/>
                <w:szCs w:val="18"/>
              </w:rPr>
            </w:pPr>
            <w:r>
              <w:rPr>
                <w:rFonts w:ascii="仿宋_GB2312" w:hAnsi="宋体" w:eastAsia="仿宋_GB2312"/>
                <w:kern w:val="0"/>
                <w:sz w:val="18"/>
                <w:szCs w:val="18"/>
              </w:rPr>
              <w:t>社会组织管理</w:t>
            </w:r>
          </w:p>
        </w:tc>
        <w:tc>
          <w:tcPr>
            <w:tcW w:w="1456" w:type="dxa"/>
            <w:shd w:val="clear" w:color="auto" w:fill="auto"/>
          </w:tcPr>
          <w:p>
            <w:pPr>
              <w:widowControl/>
              <w:jc w:val="center"/>
              <w:outlineLvl w:val="1"/>
              <w:rPr>
                <w:rFonts w:ascii="仿宋_GB2312" w:hAnsi="宋体" w:eastAsia="仿宋_GB2312"/>
                <w:kern w:val="0"/>
                <w:sz w:val="18"/>
                <w:szCs w:val="18"/>
              </w:rPr>
            </w:pPr>
            <w:r>
              <w:rPr>
                <w:rFonts w:ascii="仿宋_GB2312" w:hAnsi="宋体" w:eastAsia="仿宋_GB2312"/>
                <w:kern w:val="0"/>
                <w:sz w:val="18"/>
                <w:szCs w:val="18"/>
              </w:rPr>
              <w:t>社会组织综合党委工作</w:t>
            </w:r>
          </w:p>
        </w:tc>
        <w:tc>
          <w:tcPr>
            <w:tcW w:w="750" w:type="dxa"/>
            <w:shd w:val="clear" w:color="auto" w:fill="auto"/>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11</w:t>
            </w:r>
          </w:p>
        </w:tc>
        <w:tc>
          <w:tcPr>
            <w:tcW w:w="569" w:type="dxa"/>
            <w:gridSpan w:val="2"/>
            <w:shd w:val="clear" w:color="auto" w:fill="auto"/>
          </w:tcPr>
          <w:p>
            <w:pPr>
              <w:widowControl/>
              <w:jc w:val="center"/>
              <w:outlineLvl w:val="1"/>
              <w:rPr>
                <w:rFonts w:ascii="仿宋_GB2312" w:hAnsi="宋体" w:eastAsia="仿宋_GB2312"/>
                <w:kern w:val="0"/>
                <w:sz w:val="18"/>
                <w:szCs w:val="18"/>
              </w:rPr>
            </w:pPr>
          </w:p>
        </w:tc>
        <w:tc>
          <w:tcPr>
            <w:tcW w:w="536" w:type="dxa"/>
            <w:shd w:val="clear" w:color="auto" w:fill="auto"/>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11</w:t>
            </w:r>
          </w:p>
        </w:tc>
        <w:tc>
          <w:tcPr>
            <w:tcW w:w="652"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578" w:type="dxa"/>
            <w:gridSpan w:val="2"/>
            <w:shd w:val="clear" w:color="auto" w:fill="auto"/>
          </w:tcPr>
          <w:p>
            <w:pPr>
              <w:widowControl/>
              <w:jc w:val="center"/>
              <w:outlineLvl w:val="1"/>
              <w:rPr>
                <w:rFonts w:ascii="仿宋_GB2312" w:hAnsi="宋体" w:eastAsia="仿宋_GB2312"/>
                <w:kern w:val="0"/>
                <w:sz w:val="18"/>
                <w:szCs w:val="18"/>
              </w:rPr>
            </w:pPr>
          </w:p>
        </w:tc>
        <w:tc>
          <w:tcPr>
            <w:tcW w:w="419" w:type="dxa"/>
            <w:shd w:val="clear" w:color="auto" w:fill="auto"/>
          </w:tcPr>
          <w:p>
            <w:pPr>
              <w:widowControl/>
              <w:jc w:val="center"/>
              <w:outlineLvl w:val="1"/>
              <w:rPr>
                <w:rFonts w:ascii="仿宋_GB2312" w:hAnsi="宋体" w:eastAsia="仿宋_GB2312"/>
                <w:kern w:val="0"/>
                <w:sz w:val="18"/>
                <w:szCs w:val="18"/>
              </w:rPr>
            </w:pPr>
          </w:p>
        </w:tc>
        <w:tc>
          <w:tcPr>
            <w:tcW w:w="578"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68" w:type="dxa"/>
            <w:gridSpan w:val="2"/>
            <w:shd w:val="clear" w:color="auto" w:fill="auto"/>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shd w:val="clear" w:color="auto" w:fill="auto"/>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208</w:t>
            </w:r>
          </w:p>
        </w:tc>
        <w:tc>
          <w:tcPr>
            <w:tcW w:w="397" w:type="dxa"/>
            <w:shd w:val="clear" w:color="auto" w:fill="auto"/>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02</w:t>
            </w:r>
          </w:p>
        </w:tc>
        <w:tc>
          <w:tcPr>
            <w:tcW w:w="397" w:type="dxa"/>
            <w:shd w:val="clear" w:color="auto" w:fill="auto"/>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07</w:t>
            </w:r>
          </w:p>
        </w:tc>
        <w:tc>
          <w:tcPr>
            <w:tcW w:w="851" w:type="dxa"/>
            <w:shd w:val="clear" w:color="auto" w:fill="auto"/>
          </w:tcPr>
          <w:p>
            <w:pPr>
              <w:widowControl/>
              <w:jc w:val="center"/>
              <w:outlineLvl w:val="1"/>
              <w:rPr>
                <w:rFonts w:ascii="仿宋_GB2312" w:hAnsi="宋体" w:eastAsia="仿宋_GB2312"/>
                <w:kern w:val="0"/>
                <w:sz w:val="18"/>
                <w:szCs w:val="18"/>
              </w:rPr>
            </w:pPr>
            <w:r>
              <w:rPr>
                <w:rFonts w:ascii="仿宋_GB2312" w:hAnsi="宋体" w:eastAsia="仿宋_GB2312"/>
                <w:kern w:val="0"/>
                <w:sz w:val="18"/>
                <w:szCs w:val="18"/>
              </w:rPr>
              <w:t>行政区划和地名管理</w:t>
            </w:r>
          </w:p>
        </w:tc>
        <w:tc>
          <w:tcPr>
            <w:tcW w:w="1456" w:type="dxa"/>
            <w:shd w:val="clear" w:color="auto" w:fill="auto"/>
          </w:tcPr>
          <w:p>
            <w:pPr>
              <w:widowControl/>
              <w:jc w:val="center"/>
              <w:outlineLvl w:val="1"/>
              <w:rPr>
                <w:rFonts w:ascii="仿宋_GB2312" w:hAnsi="宋体" w:eastAsia="仿宋_GB2312"/>
                <w:kern w:val="0"/>
                <w:sz w:val="18"/>
                <w:szCs w:val="18"/>
              </w:rPr>
            </w:pPr>
            <w:r>
              <w:rPr>
                <w:rFonts w:ascii="仿宋_GB2312" w:hAnsi="宋体" w:eastAsia="仿宋_GB2312"/>
                <w:kern w:val="0"/>
                <w:sz w:val="18"/>
                <w:szCs w:val="18"/>
              </w:rPr>
              <w:t>地名与区划管理</w:t>
            </w:r>
          </w:p>
        </w:tc>
        <w:tc>
          <w:tcPr>
            <w:tcW w:w="750" w:type="dxa"/>
            <w:shd w:val="clear" w:color="auto" w:fill="auto"/>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15</w:t>
            </w:r>
          </w:p>
        </w:tc>
        <w:tc>
          <w:tcPr>
            <w:tcW w:w="569" w:type="dxa"/>
            <w:gridSpan w:val="2"/>
            <w:shd w:val="clear" w:color="auto" w:fill="auto"/>
          </w:tcPr>
          <w:p>
            <w:pPr>
              <w:widowControl/>
              <w:jc w:val="center"/>
              <w:outlineLvl w:val="1"/>
              <w:rPr>
                <w:rFonts w:ascii="仿宋_GB2312" w:hAnsi="宋体" w:eastAsia="仿宋_GB2312"/>
                <w:kern w:val="0"/>
                <w:sz w:val="18"/>
                <w:szCs w:val="18"/>
              </w:rPr>
            </w:pPr>
          </w:p>
        </w:tc>
        <w:tc>
          <w:tcPr>
            <w:tcW w:w="536" w:type="dxa"/>
            <w:shd w:val="clear" w:color="auto" w:fill="auto"/>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15</w:t>
            </w:r>
          </w:p>
        </w:tc>
        <w:tc>
          <w:tcPr>
            <w:tcW w:w="652"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578" w:type="dxa"/>
            <w:gridSpan w:val="2"/>
            <w:shd w:val="clear" w:color="auto" w:fill="auto"/>
          </w:tcPr>
          <w:p>
            <w:pPr>
              <w:widowControl/>
              <w:jc w:val="center"/>
              <w:outlineLvl w:val="1"/>
              <w:rPr>
                <w:rFonts w:ascii="仿宋_GB2312" w:hAnsi="宋体" w:eastAsia="仿宋_GB2312"/>
                <w:kern w:val="0"/>
                <w:sz w:val="18"/>
                <w:szCs w:val="18"/>
              </w:rPr>
            </w:pPr>
          </w:p>
        </w:tc>
        <w:tc>
          <w:tcPr>
            <w:tcW w:w="419" w:type="dxa"/>
            <w:shd w:val="clear" w:color="auto" w:fill="auto"/>
          </w:tcPr>
          <w:p>
            <w:pPr>
              <w:widowControl/>
              <w:jc w:val="center"/>
              <w:outlineLvl w:val="1"/>
              <w:rPr>
                <w:rFonts w:ascii="仿宋_GB2312" w:hAnsi="宋体" w:eastAsia="仿宋_GB2312"/>
                <w:kern w:val="0"/>
                <w:sz w:val="18"/>
                <w:szCs w:val="18"/>
              </w:rPr>
            </w:pPr>
          </w:p>
        </w:tc>
        <w:tc>
          <w:tcPr>
            <w:tcW w:w="578"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68" w:type="dxa"/>
            <w:gridSpan w:val="2"/>
            <w:shd w:val="clear" w:color="auto" w:fill="auto"/>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shd w:val="clear" w:color="auto" w:fill="auto"/>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208</w:t>
            </w:r>
          </w:p>
        </w:tc>
        <w:tc>
          <w:tcPr>
            <w:tcW w:w="397" w:type="dxa"/>
            <w:shd w:val="clear" w:color="auto" w:fill="auto"/>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02</w:t>
            </w:r>
          </w:p>
        </w:tc>
        <w:tc>
          <w:tcPr>
            <w:tcW w:w="397" w:type="dxa"/>
            <w:shd w:val="clear" w:color="auto" w:fill="auto"/>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99</w:t>
            </w:r>
          </w:p>
        </w:tc>
        <w:tc>
          <w:tcPr>
            <w:tcW w:w="851" w:type="dxa"/>
            <w:shd w:val="clear" w:color="auto" w:fill="auto"/>
          </w:tcPr>
          <w:p>
            <w:pPr>
              <w:widowControl/>
              <w:jc w:val="center"/>
              <w:outlineLvl w:val="1"/>
              <w:rPr>
                <w:rFonts w:ascii="仿宋_GB2312" w:hAnsi="宋体" w:eastAsia="仿宋_GB2312"/>
                <w:kern w:val="0"/>
                <w:sz w:val="18"/>
                <w:szCs w:val="18"/>
              </w:rPr>
            </w:pPr>
            <w:r>
              <w:rPr>
                <w:rFonts w:ascii="仿宋_GB2312" w:hAnsi="宋体" w:eastAsia="仿宋_GB2312"/>
                <w:kern w:val="0"/>
                <w:sz w:val="18"/>
                <w:szCs w:val="18"/>
              </w:rPr>
              <w:t>其他民政管理事务支出</w:t>
            </w:r>
          </w:p>
        </w:tc>
        <w:tc>
          <w:tcPr>
            <w:tcW w:w="1456" w:type="dxa"/>
            <w:shd w:val="clear" w:color="auto" w:fill="auto"/>
          </w:tcPr>
          <w:p>
            <w:pPr>
              <w:widowControl/>
              <w:jc w:val="center"/>
              <w:outlineLvl w:val="1"/>
              <w:rPr>
                <w:rFonts w:ascii="仿宋_GB2312" w:hAnsi="宋体" w:eastAsia="仿宋_GB2312"/>
                <w:kern w:val="0"/>
                <w:sz w:val="18"/>
                <w:szCs w:val="18"/>
              </w:rPr>
            </w:pPr>
            <w:r>
              <w:rPr>
                <w:rFonts w:ascii="仿宋_GB2312" w:hAnsi="宋体" w:eastAsia="仿宋_GB2312"/>
                <w:kern w:val="0"/>
                <w:sz w:val="18"/>
                <w:szCs w:val="18"/>
              </w:rPr>
              <w:t>社会救助及核对工作</w:t>
            </w:r>
          </w:p>
        </w:tc>
        <w:tc>
          <w:tcPr>
            <w:tcW w:w="750" w:type="dxa"/>
            <w:shd w:val="clear" w:color="auto" w:fill="auto"/>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20</w:t>
            </w:r>
          </w:p>
        </w:tc>
        <w:tc>
          <w:tcPr>
            <w:tcW w:w="569" w:type="dxa"/>
            <w:gridSpan w:val="2"/>
            <w:shd w:val="clear" w:color="auto" w:fill="auto"/>
          </w:tcPr>
          <w:p>
            <w:pPr>
              <w:widowControl/>
              <w:jc w:val="center"/>
              <w:outlineLvl w:val="1"/>
              <w:rPr>
                <w:rFonts w:ascii="仿宋_GB2312" w:hAnsi="宋体" w:eastAsia="仿宋_GB2312"/>
                <w:kern w:val="0"/>
                <w:sz w:val="18"/>
                <w:szCs w:val="18"/>
              </w:rPr>
            </w:pPr>
          </w:p>
        </w:tc>
        <w:tc>
          <w:tcPr>
            <w:tcW w:w="536" w:type="dxa"/>
            <w:shd w:val="clear" w:color="auto" w:fill="auto"/>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20</w:t>
            </w:r>
          </w:p>
        </w:tc>
        <w:tc>
          <w:tcPr>
            <w:tcW w:w="652"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578" w:type="dxa"/>
            <w:gridSpan w:val="2"/>
            <w:shd w:val="clear" w:color="auto" w:fill="auto"/>
          </w:tcPr>
          <w:p>
            <w:pPr>
              <w:widowControl/>
              <w:jc w:val="center"/>
              <w:outlineLvl w:val="1"/>
              <w:rPr>
                <w:rFonts w:ascii="仿宋_GB2312" w:hAnsi="宋体" w:eastAsia="仿宋_GB2312"/>
                <w:kern w:val="0"/>
                <w:sz w:val="18"/>
                <w:szCs w:val="18"/>
              </w:rPr>
            </w:pPr>
          </w:p>
        </w:tc>
        <w:tc>
          <w:tcPr>
            <w:tcW w:w="419" w:type="dxa"/>
            <w:shd w:val="clear" w:color="auto" w:fill="auto"/>
          </w:tcPr>
          <w:p>
            <w:pPr>
              <w:widowControl/>
              <w:jc w:val="center"/>
              <w:outlineLvl w:val="1"/>
              <w:rPr>
                <w:rFonts w:ascii="仿宋_GB2312" w:hAnsi="宋体" w:eastAsia="仿宋_GB2312"/>
                <w:kern w:val="0"/>
                <w:sz w:val="18"/>
                <w:szCs w:val="18"/>
              </w:rPr>
            </w:pPr>
          </w:p>
        </w:tc>
        <w:tc>
          <w:tcPr>
            <w:tcW w:w="578"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68" w:type="dxa"/>
            <w:gridSpan w:val="2"/>
            <w:shd w:val="clear" w:color="auto" w:fill="auto"/>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851" w:type="dxa"/>
            <w:shd w:val="clear" w:color="auto" w:fill="auto"/>
          </w:tcPr>
          <w:p>
            <w:pPr>
              <w:widowControl/>
              <w:jc w:val="center"/>
              <w:outlineLvl w:val="1"/>
              <w:rPr>
                <w:rFonts w:ascii="仿宋_GB2312" w:hAnsi="宋体" w:eastAsia="仿宋_GB2312"/>
                <w:kern w:val="0"/>
                <w:sz w:val="18"/>
                <w:szCs w:val="18"/>
              </w:rPr>
            </w:pPr>
          </w:p>
        </w:tc>
        <w:tc>
          <w:tcPr>
            <w:tcW w:w="1456" w:type="dxa"/>
            <w:shd w:val="clear" w:color="auto" w:fill="auto"/>
          </w:tcPr>
          <w:p>
            <w:pPr>
              <w:widowControl/>
              <w:jc w:val="center"/>
              <w:outlineLvl w:val="1"/>
              <w:rPr>
                <w:rFonts w:ascii="仿宋_GB2312" w:hAnsi="宋体" w:eastAsia="仿宋_GB2312"/>
                <w:kern w:val="0"/>
                <w:sz w:val="18"/>
                <w:szCs w:val="18"/>
              </w:rPr>
            </w:pPr>
          </w:p>
        </w:tc>
        <w:tc>
          <w:tcPr>
            <w:tcW w:w="750" w:type="dxa"/>
            <w:shd w:val="clear" w:color="auto" w:fill="auto"/>
          </w:tcPr>
          <w:p>
            <w:pPr>
              <w:widowControl/>
              <w:jc w:val="center"/>
              <w:outlineLvl w:val="1"/>
              <w:rPr>
                <w:rFonts w:ascii="仿宋_GB2312" w:hAnsi="宋体" w:eastAsia="仿宋_GB2312"/>
                <w:kern w:val="0"/>
                <w:sz w:val="18"/>
                <w:szCs w:val="18"/>
              </w:rPr>
            </w:pPr>
          </w:p>
        </w:tc>
        <w:tc>
          <w:tcPr>
            <w:tcW w:w="569" w:type="dxa"/>
            <w:gridSpan w:val="2"/>
            <w:shd w:val="clear" w:color="auto" w:fill="auto"/>
          </w:tcPr>
          <w:p>
            <w:pPr>
              <w:widowControl/>
              <w:jc w:val="center"/>
              <w:outlineLvl w:val="1"/>
              <w:rPr>
                <w:rFonts w:ascii="仿宋_GB2312" w:hAnsi="宋体" w:eastAsia="仿宋_GB2312"/>
                <w:kern w:val="0"/>
                <w:sz w:val="18"/>
                <w:szCs w:val="18"/>
              </w:rPr>
            </w:pPr>
          </w:p>
        </w:tc>
        <w:tc>
          <w:tcPr>
            <w:tcW w:w="536"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578" w:type="dxa"/>
            <w:gridSpan w:val="2"/>
            <w:shd w:val="clear" w:color="auto" w:fill="auto"/>
          </w:tcPr>
          <w:p>
            <w:pPr>
              <w:widowControl/>
              <w:jc w:val="center"/>
              <w:outlineLvl w:val="1"/>
              <w:rPr>
                <w:rFonts w:ascii="仿宋_GB2312" w:hAnsi="宋体" w:eastAsia="仿宋_GB2312"/>
                <w:kern w:val="0"/>
                <w:sz w:val="18"/>
                <w:szCs w:val="18"/>
              </w:rPr>
            </w:pPr>
          </w:p>
        </w:tc>
        <w:tc>
          <w:tcPr>
            <w:tcW w:w="419" w:type="dxa"/>
            <w:shd w:val="clear" w:color="auto" w:fill="auto"/>
          </w:tcPr>
          <w:p>
            <w:pPr>
              <w:widowControl/>
              <w:jc w:val="center"/>
              <w:outlineLvl w:val="1"/>
              <w:rPr>
                <w:rFonts w:ascii="仿宋_GB2312" w:hAnsi="宋体" w:eastAsia="仿宋_GB2312"/>
                <w:kern w:val="0"/>
                <w:sz w:val="18"/>
                <w:szCs w:val="18"/>
              </w:rPr>
            </w:pPr>
          </w:p>
        </w:tc>
        <w:tc>
          <w:tcPr>
            <w:tcW w:w="578"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68" w:type="dxa"/>
            <w:gridSpan w:val="2"/>
            <w:shd w:val="clear" w:color="auto" w:fill="auto"/>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851" w:type="dxa"/>
            <w:shd w:val="clear" w:color="auto" w:fill="auto"/>
          </w:tcPr>
          <w:p>
            <w:pPr>
              <w:widowControl/>
              <w:jc w:val="center"/>
              <w:outlineLvl w:val="1"/>
              <w:rPr>
                <w:rFonts w:ascii="仿宋_GB2312" w:hAnsi="宋体" w:eastAsia="仿宋_GB2312"/>
                <w:kern w:val="0"/>
                <w:sz w:val="18"/>
                <w:szCs w:val="18"/>
              </w:rPr>
            </w:pPr>
          </w:p>
        </w:tc>
        <w:tc>
          <w:tcPr>
            <w:tcW w:w="1456" w:type="dxa"/>
            <w:shd w:val="clear" w:color="auto" w:fill="auto"/>
          </w:tcPr>
          <w:p>
            <w:pPr>
              <w:widowControl/>
              <w:jc w:val="center"/>
              <w:outlineLvl w:val="1"/>
              <w:rPr>
                <w:rFonts w:ascii="仿宋_GB2312" w:hAnsi="宋体" w:eastAsia="仿宋_GB2312"/>
                <w:kern w:val="0"/>
                <w:sz w:val="18"/>
                <w:szCs w:val="18"/>
              </w:rPr>
            </w:pPr>
          </w:p>
        </w:tc>
        <w:tc>
          <w:tcPr>
            <w:tcW w:w="750" w:type="dxa"/>
            <w:shd w:val="clear" w:color="auto" w:fill="auto"/>
          </w:tcPr>
          <w:p>
            <w:pPr>
              <w:widowControl/>
              <w:jc w:val="center"/>
              <w:outlineLvl w:val="1"/>
              <w:rPr>
                <w:rFonts w:ascii="仿宋_GB2312" w:hAnsi="宋体" w:eastAsia="仿宋_GB2312"/>
                <w:kern w:val="0"/>
                <w:sz w:val="18"/>
                <w:szCs w:val="18"/>
              </w:rPr>
            </w:pPr>
          </w:p>
        </w:tc>
        <w:tc>
          <w:tcPr>
            <w:tcW w:w="569" w:type="dxa"/>
            <w:gridSpan w:val="2"/>
            <w:shd w:val="clear" w:color="auto" w:fill="auto"/>
          </w:tcPr>
          <w:p>
            <w:pPr>
              <w:widowControl/>
              <w:jc w:val="center"/>
              <w:outlineLvl w:val="1"/>
              <w:rPr>
                <w:rFonts w:ascii="仿宋_GB2312" w:hAnsi="宋体" w:eastAsia="仿宋_GB2312"/>
                <w:kern w:val="0"/>
                <w:sz w:val="18"/>
                <w:szCs w:val="18"/>
              </w:rPr>
            </w:pPr>
          </w:p>
        </w:tc>
        <w:tc>
          <w:tcPr>
            <w:tcW w:w="536"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578" w:type="dxa"/>
            <w:gridSpan w:val="2"/>
            <w:shd w:val="clear" w:color="auto" w:fill="auto"/>
          </w:tcPr>
          <w:p>
            <w:pPr>
              <w:widowControl/>
              <w:jc w:val="center"/>
              <w:outlineLvl w:val="1"/>
              <w:rPr>
                <w:rFonts w:ascii="仿宋_GB2312" w:hAnsi="宋体" w:eastAsia="仿宋_GB2312"/>
                <w:kern w:val="0"/>
                <w:sz w:val="18"/>
                <w:szCs w:val="18"/>
              </w:rPr>
            </w:pPr>
          </w:p>
        </w:tc>
        <w:tc>
          <w:tcPr>
            <w:tcW w:w="419" w:type="dxa"/>
            <w:shd w:val="clear" w:color="auto" w:fill="auto"/>
          </w:tcPr>
          <w:p>
            <w:pPr>
              <w:widowControl/>
              <w:jc w:val="center"/>
              <w:outlineLvl w:val="1"/>
              <w:rPr>
                <w:rFonts w:ascii="仿宋_GB2312" w:hAnsi="宋体" w:eastAsia="仿宋_GB2312"/>
                <w:kern w:val="0"/>
                <w:sz w:val="18"/>
                <w:szCs w:val="18"/>
              </w:rPr>
            </w:pPr>
          </w:p>
        </w:tc>
        <w:tc>
          <w:tcPr>
            <w:tcW w:w="578"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68" w:type="dxa"/>
            <w:gridSpan w:val="2"/>
            <w:shd w:val="clear" w:color="auto" w:fill="auto"/>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851" w:type="dxa"/>
            <w:shd w:val="clear" w:color="auto" w:fill="auto"/>
          </w:tcPr>
          <w:p>
            <w:pPr>
              <w:widowControl/>
              <w:jc w:val="center"/>
              <w:outlineLvl w:val="1"/>
              <w:rPr>
                <w:rFonts w:ascii="仿宋_GB2312" w:hAnsi="宋体" w:eastAsia="仿宋_GB2312"/>
                <w:kern w:val="0"/>
                <w:sz w:val="18"/>
                <w:szCs w:val="18"/>
              </w:rPr>
            </w:pPr>
          </w:p>
        </w:tc>
        <w:tc>
          <w:tcPr>
            <w:tcW w:w="1456" w:type="dxa"/>
            <w:shd w:val="clear" w:color="auto" w:fill="auto"/>
          </w:tcPr>
          <w:p>
            <w:pPr>
              <w:widowControl/>
              <w:jc w:val="center"/>
              <w:outlineLvl w:val="1"/>
              <w:rPr>
                <w:rFonts w:ascii="仿宋_GB2312" w:hAnsi="宋体" w:eastAsia="仿宋_GB2312"/>
                <w:kern w:val="0"/>
                <w:sz w:val="18"/>
                <w:szCs w:val="18"/>
              </w:rPr>
            </w:pPr>
          </w:p>
        </w:tc>
        <w:tc>
          <w:tcPr>
            <w:tcW w:w="750" w:type="dxa"/>
            <w:shd w:val="clear" w:color="auto" w:fill="auto"/>
          </w:tcPr>
          <w:p>
            <w:pPr>
              <w:widowControl/>
              <w:jc w:val="center"/>
              <w:outlineLvl w:val="1"/>
              <w:rPr>
                <w:rFonts w:ascii="仿宋_GB2312" w:hAnsi="宋体" w:eastAsia="仿宋_GB2312"/>
                <w:kern w:val="0"/>
                <w:sz w:val="18"/>
                <w:szCs w:val="18"/>
              </w:rPr>
            </w:pPr>
          </w:p>
        </w:tc>
        <w:tc>
          <w:tcPr>
            <w:tcW w:w="569" w:type="dxa"/>
            <w:gridSpan w:val="2"/>
            <w:shd w:val="clear" w:color="auto" w:fill="auto"/>
          </w:tcPr>
          <w:p>
            <w:pPr>
              <w:widowControl/>
              <w:jc w:val="center"/>
              <w:outlineLvl w:val="1"/>
              <w:rPr>
                <w:rFonts w:ascii="仿宋_GB2312" w:hAnsi="宋体" w:eastAsia="仿宋_GB2312"/>
                <w:kern w:val="0"/>
                <w:sz w:val="18"/>
                <w:szCs w:val="18"/>
              </w:rPr>
            </w:pPr>
          </w:p>
        </w:tc>
        <w:tc>
          <w:tcPr>
            <w:tcW w:w="536"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578" w:type="dxa"/>
            <w:gridSpan w:val="2"/>
            <w:shd w:val="clear" w:color="auto" w:fill="auto"/>
          </w:tcPr>
          <w:p>
            <w:pPr>
              <w:widowControl/>
              <w:jc w:val="center"/>
              <w:outlineLvl w:val="1"/>
              <w:rPr>
                <w:rFonts w:ascii="仿宋_GB2312" w:hAnsi="宋体" w:eastAsia="仿宋_GB2312"/>
                <w:kern w:val="0"/>
                <w:sz w:val="18"/>
                <w:szCs w:val="18"/>
              </w:rPr>
            </w:pPr>
          </w:p>
        </w:tc>
        <w:tc>
          <w:tcPr>
            <w:tcW w:w="419" w:type="dxa"/>
            <w:shd w:val="clear" w:color="auto" w:fill="auto"/>
          </w:tcPr>
          <w:p>
            <w:pPr>
              <w:widowControl/>
              <w:jc w:val="center"/>
              <w:outlineLvl w:val="1"/>
              <w:rPr>
                <w:rFonts w:ascii="仿宋_GB2312" w:hAnsi="宋体" w:eastAsia="仿宋_GB2312"/>
                <w:kern w:val="0"/>
                <w:sz w:val="18"/>
                <w:szCs w:val="18"/>
              </w:rPr>
            </w:pPr>
          </w:p>
        </w:tc>
        <w:tc>
          <w:tcPr>
            <w:tcW w:w="578"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68" w:type="dxa"/>
            <w:gridSpan w:val="2"/>
            <w:shd w:val="clear" w:color="auto" w:fill="auto"/>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851" w:type="dxa"/>
            <w:shd w:val="clear" w:color="auto" w:fill="auto"/>
          </w:tcPr>
          <w:p>
            <w:pPr>
              <w:widowControl/>
              <w:jc w:val="center"/>
              <w:outlineLvl w:val="1"/>
              <w:rPr>
                <w:rFonts w:ascii="仿宋_GB2312" w:hAnsi="宋体" w:eastAsia="仿宋_GB2312"/>
                <w:kern w:val="0"/>
                <w:sz w:val="18"/>
                <w:szCs w:val="18"/>
              </w:rPr>
            </w:pPr>
          </w:p>
        </w:tc>
        <w:tc>
          <w:tcPr>
            <w:tcW w:w="1456" w:type="dxa"/>
            <w:shd w:val="clear" w:color="auto" w:fill="auto"/>
          </w:tcPr>
          <w:p>
            <w:pPr>
              <w:widowControl/>
              <w:jc w:val="center"/>
              <w:outlineLvl w:val="1"/>
              <w:rPr>
                <w:rFonts w:ascii="仿宋_GB2312" w:hAnsi="宋体" w:eastAsia="仿宋_GB2312"/>
                <w:kern w:val="0"/>
                <w:sz w:val="18"/>
                <w:szCs w:val="18"/>
              </w:rPr>
            </w:pPr>
          </w:p>
        </w:tc>
        <w:tc>
          <w:tcPr>
            <w:tcW w:w="750" w:type="dxa"/>
            <w:shd w:val="clear" w:color="auto" w:fill="auto"/>
          </w:tcPr>
          <w:p>
            <w:pPr>
              <w:widowControl/>
              <w:jc w:val="center"/>
              <w:outlineLvl w:val="1"/>
              <w:rPr>
                <w:rFonts w:ascii="仿宋_GB2312" w:hAnsi="宋体" w:eastAsia="仿宋_GB2312"/>
                <w:kern w:val="0"/>
                <w:sz w:val="18"/>
                <w:szCs w:val="18"/>
              </w:rPr>
            </w:pPr>
          </w:p>
        </w:tc>
        <w:tc>
          <w:tcPr>
            <w:tcW w:w="569" w:type="dxa"/>
            <w:gridSpan w:val="2"/>
            <w:shd w:val="clear" w:color="auto" w:fill="auto"/>
          </w:tcPr>
          <w:p>
            <w:pPr>
              <w:widowControl/>
              <w:jc w:val="center"/>
              <w:outlineLvl w:val="1"/>
              <w:rPr>
                <w:rFonts w:ascii="仿宋_GB2312" w:hAnsi="宋体" w:eastAsia="仿宋_GB2312"/>
                <w:kern w:val="0"/>
                <w:sz w:val="18"/>
                <w:szCs w:val="18"/>
              </w:rPr>
            </w:pPr>
          </w:p>
        </w:tc>
        <w:tc>
          <w:tcPr>
            <w:tcW w:w="536"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578" w:type="dxa"/>
            <w:gridSpan w:val="2"/>
            <w:shd w:val="clear" w:color="auto" w:fill="auto"/>
          </w:tcPr>
          <w:p>
            <w:pPr>
              <w:widowControl/>
              <w:jc w:val="center"/>
              <w:outlineLvl w:val="1"/>
              <w:rPr>
                <w:rFonts w:ascii="仿宋_GB2312" w:hAnsi="宋体" w:eastAsia="仿宋_GB2312"/>
                <w:kern w:val="0"/>
                <w:sz w:val="18"/>
                <w:szCs w:val="18"/>
              </w:rPr>
            </w:pPr>
          </w:p>
        </w:tc>
        <w:tc>
          <w:tcPr>
            <w:tcW w:w="419" w:type="dxa"/>
            <w:shd w:val="clear" w:color="auto" w:fill="auto"/>
          </w:tcPr>
          <w:p>
            <w:pPr>
              <w:widowControl/>
              <w:jc w:val="center"/>
              <w:outlineLvl w:val="1"/>
              <w:rPr>
                <w:rFonts w:ascii="仿宋_GB2312" w:hAnsi="宋体" w:eastAsia="仿宋_GB2312"/>
                <w:kern w:val="0"/>
                <w:sz w:val="18"/>
                <w:szCs w:val="18"/>
              </w:rPr>
            </w:pPr>
          </w:p>
        </w:tc>
        <w:tc>
          <w:tcPr>
            <w:tcW w:w="578"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68" w:type="dxa"/>
            <w:gridSpan w:val="2"/>
            <w:shd w:val="clear" w:color="auto" w:fill="auto"/>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851" w:type="dxa"/>
            <w:shd w:val="clear" w:color="auto" w:fill="auto"/>
          </w:tcPr>
          <w:p>
            <w:pPr>
              <w:widowControl/>
              <w:jc w:val="center"/>
              <w:outlineLvl w:val="1"/>
              <w:rPr>
                <w:rFonts w:ascii="仿宋_GB2312" w:hAnsi="宋体" w:eastAsia="仿宋_GB2312"/>
                <w:kern w:val="0"/>
                <w:sz w:val="18"/>
                <w:szCs w:val="18"/>
              </w:rPr>
            </w:pPr>
          </w:p>
        </w:tc>
        <w:tc>
          <w:tcPr>
            <w:tcW w:w="1456" w:type="dxa"/>
            <w:shd w:val="clear" w:color="auto" w:fill="auto"/>
          </w:tcPr>
          <w:p>
            <w:pPr>
              <w:widowControl/>
              <w:jc w:val="center"/>
              <w:outlineLvl w:val="1"/>
              <w:rPr>
                <w:rFonts w:ascii="仿宋_GB2312" w:hAnsi="宋体" w:eastAsia="仿宋_GB2312"/>
                <w:kern w:val="0"/>
                <w:sz w:val="18"/>
                <w:szCs w:val="18"/>
              </w:rPr>
            </w:pPr>
          </w:p>
        </w:tc>
        <w:tc>
          <w:tcPr>
            <w:tcW w:w="750" w:type="dxa"/>
            <w:shd w:val="clear" w:color="auto" w:fill="auto"/>
          </w:tcPr>
          <w:p>
            <w:pPr>
              <w:widowControl/>
              <w:jc w:val="center"/>
              <w:outlineLvl w:val="1"/>
              <w:rPr>
                <w:rFonts w:ascii="仿宋_GB2312" w:hAnsi="宋体" w:eastAsia="仿宋_GB2312"/>
                <w:kern w:val="0"/>
                <w:sz w:val="18"/>
                <w:szCs w:val="18"/>
              </w:rPr>
            </w:pPr>
          </w:p>
        </w:tc>
        <w:tc>
          <w:tcPr>
            <w:tcW w:w="569" w:type="dxa"/>
            <w:gridSpan w:val="2"/>
            <w:shd w:val="clear" w:color="auto" w:fill="auto"/>
          </w:tcPr>
          <w:p>
            <w:pPr>
              <w:widowControl/>
              <w:jc w:val="center"/>
              <w:outlineLvl w:val="1"/>
              <w:rPr>
                <w:rFonts w:ascii="仿宋_GB2312" w:hAnsi="宋体" w:eastAsia="仿宋_GB2312"/>
                <w:kern w:val="0"/>
                <w:sz w:val="18"/>
                <w:szCs w:val="18"/>
              </w:rPr>
            </w:pPr>
          </w:p>
        </w:tc>
        <w:tc>
          <w:tcPr>
            <w:tcW w:w="536"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578" w:type="dxa"/>
            <w:gridSpan w:val="2"/>
            <w:shd w:val="clear" w:color="auto" w:fill="auto"/>
          </w:tcPr>
          <w:p>
            <w:pPr>
              <w:widowControl/>
              <w:jc w:val="center"/>
              <w:outlineLvl w:val="1"/>
              <w:rPr>
                <w:rFonts w:ascii="仿宋_GB2312" w:hAnsi="宋体" w:eastAsia="仿宋_GB2312"/>
                <w:kern w:val="0"/>
                <w:sz w:val="18"/>
                <w:szCs w:val="18"/>
              </w:rPr>
            </w:pPr>
          </w:p>
        </w:tc>
        <w:tc>
          <w:tcPr>
            <w:tcW w:w="419" w:type="dxa"/>
            <w:shd w:val="clear" w:color="auto" w:fill="auto"/>
          </w:tcPr>
          <w:p>
            <w:pPr>
              <w:widowControl/>
              <w:jc w:val="center"/>
              <w:outlineLvl w:val="1"/>
              <w:rPr>
                <w:rFonts w:ascii="仿宋_GB2312" w:hAnsi="宋体" w:eastAsia="仿宋_GB2312"/>
                <w:kern w:val="0"/>
                <w:sz w:val="18"/>
                <w:szCs w:val="18"/>
              </w:rPr>
            </w:pPr>
          </w:p>
        </w:tc>
        <w:tc>
          <w:tcPr>
            <w:tcW w:w="578"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68" w:type="dxa"/>
            <w:gridSpan w:val="2"/>
            <w:shd w:val="clear" w:color="auto" w:fill="auto"/>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851" w:type="dxa"/>
            <w:shd w:val="clear" w:color="auto" w:fill="auto"/>
          </w:tcPr>
          <w:p>
            <w:pPr>
              <w:widowControl/>
              <w:jc w:val="center"/>
              <w:outlineLvl w:val="1"/>
              <w:rPr>
                <w:rFonts w:ascii="仿宋_GB2312" w:hAnsi="宋体" w:eastAsia="仿宋_GB2312"/>
                <w:kern w:val="0"/>
                <w:sz w:val="18"/>
                <w:szCs w:val="18"/>
              </w:rPr>
            </w:pPr>
          </w:p>
        </w:tc>
        <w:tc>
          <w:tcPr>
            <w:tcW w:w="1456" w:type="dxa"/>
            <w:shd w:val="clear" w:color="auto" w:fill="auto"/>
          </w:tcPr>
          <w:p>
            <w:pPr>
              <w:widowControl/>
              <w:jc w:val="center"/>
              <w:outlineLvl w:val="1"/>
              <w:rPr>
                <w:rFonts w:ascii="仿宋_GB2312" w:hAnsi="宋体" w:eastAsia="仿宋_GB2312"/>
                <w:kern w:val="0"/>
                <w:sz w:val="18"/>
                <w:szCs w:val="18"/>
              </w:rPr>
            </w:pPr>
          </w:p>
        </w:tc>
        <w:tc>
          <w:tcPr>
            <w:tcW w:w="750" w:type="dxa"/>
            <w:shd w:val="clear" w:color="auto" w:fill="auto"/>
          </w:tcPr>
          <w:p>
            <w:pPr>
              <w:widowControl/>
              <w:jc w:val="center"/>
              <w:outlineLvl w:val="1"/>
              <w:rPr>
                <w:rFonts w:ascii="仿宋_GB2312" w:hAnsi="宋体" w:eastAsia="仿宋_GB2312"/>
                <w:kern w:val="0"/>
                <w:sz w:val="18"/>
                <w:szCs w:val="18"/>
              </w:rPr>
            </w:pPr>
          </w:p>
        </w:tc>
        <w:tc>
          <w:tcPr>
            <w:tcW w:w="569" w:type="dxa"/>
            <w:gridSpan w:val="2"/>
            <w:shd w:val="clear" w:color="auto" w:fill="auto"/>
          </w:tcPr>
          <w:p>
            <w:pPr>
              <w:widowControl/>
              <w:jc w:val="center"/>
              <w:outlineLvl w:val="1"/>
              <w:rPr>
                <w:rFonts w:ascii="仿宋_GB2312" w:hAnsi="宋体" w:eastAsia="仿宋_GB2312"/>
                <w:kern w:val="0"/>
                <w:sz w:val="18"/>
                <w:szCs w:val="18"/>
              </w:rPr>
            </w:pPr>
          </w:p>
        </w:tc>
        <w:tc>
          <w:tcPr>
            <w:tcW w:w="536"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578" w:type="dxa"/>
            <w:gridSpan w:val="2"/>
            <w:shd w:val="clear" w:color="auto" w:fill="auto"/>
          </w:tcPr>
          <w:p>
            <w:pPr>
              <w:widowControl/>
              <w:jc w:val="center"/>
              <w:outlineLvl w:val="1"/>
              <w:rPr>
                <w:rFonts w:ascii="仿宋_GB2312" w:hAnsi="宋体" w:eastAsia="仿宋_GB2312"/>
                <w:kern w:val="0"/>
                <w:sz w:val="18"/>
                <w:szCs w:val="18"/>
              </w:rPr>
            </w:pPr>
          </w:p>
        </w:tc>
        <w:tc>
          <w:tcPr>
            <w:tcW w:w="419" w:type="dxa"/>
            <w:shd w:val="clear" w:color="auto" w:fill="auto"/>
          </w:tcPr>
          <w:p>
            <w:pPr>
              <w:widowControl/>
              <w:jc w:val="center"/>
              <w:outlineLvl w:val="1"/>
              <w:rPr>
                <w:rFonts w:ascii="仿宋_GB2312" w:hAnsi="宋体" w:eastAsia="仿宋_GB2312"/>
                <w:kern w:val="0"/>
                <w:sz w:val="18"/>
                <w:szCs w:val="18"/>
              </w:rPr>
            </w:pPr>
          </w:p>
        </w:tc>
        <w:tc>
          <w:tcPr>
            <w:tcW w:w="578"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68" w:type="dxa"/>
            <w:gridSpan w:val="2"/>
            <w:shd w:val="clear" w:color="auto" w:fill="auto"/>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851" w:type="dxa"/>
            <w:shd w:val="clear" w:color="auto" w:fill="auto"/>
          </w:tcPr>
          <w:p>
            <w:pPr>
              <w:widowControl/>
              <w:jc w:val="center"/>
              <w:outlineLvl w:val="1"/>
              <w:rPr>
                <w:rFonts w:ascii="仿宋_GB2312" w:hAnsi="宋体" w:eastAsia="仿宋_GB2312"/>
                <w:kern w:val="0"/>
                <w:sz w:val="18"/>
                <w:szCs w:val="18"/>
              </w:rPr>
            </w:pPr>
          </w:p>
        </w:tc>
        <w:tc>
          <w:tcPr>
            <w:tcW w:w="1456" w:type="dxa"/>
            <w:shd w:val="clear" w:color="auto" w:fill="auto"/>
          </w:tcPr>
          <w:p>
            <w:pPr>
              <w:widowControl/>
              <w:jc w:val="center"/>
              <w:outlineLvl w:val="1"/>
              <w:rPr>
                <w:rFonts w:ascii="仿宋_GB2312" w:hAnsi="宋体" w:eastAsia="仿宋_GB2312"/>
                <w:kern w:val="0"/>
                <w:sz w:val="18"/>
                <w:szCs w:val="18"/>
              </w:rPr>
            </w:pPr>
          </w:p>
        </w:tc>
        <w:tc>
          <w:tcPr>
            <w:tcW w:w="750" w:type="dxa"/>
            <w:shd w:val="clear" w:color="auto" w:fill="auto"/>
          </w:tcPr>
          <w:p>
            <w:pPr>
              <w:widowControl/>
              <w:jc w:val="center"/>
              <w:outlineLvl w:val="1"/>
              <w:rPr>
                <w:rFonts w:ascii="仿宋_GB2312" w:hAnsi="宋体" w:eastAsia="仿宋_GB2312"/>
                <w:kern w:val="0"/>
                <w:sz w:val="18"/>
                <w:szCs w:val="18"/>
              </w:rPr>
            </w:pPr>
          </w:p>
        </w:tc>
        <w:tc>
          <w:tcPr>
            <w:tcW w:w="569" w:type="dxa"/>
            <w:gridSpan w:val="2"/>
            <w:shd w:val="clear" w:color="auto" w:fill="auto"/>
          </w:tcPr>
          <w:p>
            <w:pPr>
              <w:widowControl/>
              <w:jc w:val="center"/>
              <w:outlineLvl w:val="1"/>
              <w:rPr>
                <w:rFonts w:ascii="仿宋_GB2312" w:hAnsi="宋体" w:eastAsia="仿宋_GB2312"/>
                <w:kern w:val="0"/>
                <w:sz w:val="18"/>
                <w:szCs w:val="18"/>
              </w:rPr>
            </w:pPr>
          </w:p>
        </w:tc>
        <w:tc>
          <w:tcPr>
            <w:tcW w:w="536"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578" w:type="dxa"/>
            <w:gridSpan w:val="2"/>
            <w:shd w:val="clear" w:color="auto" w:fill="auto"/>
          </w:tcPr>
          <w:p>
            <w:pPr>
              <w:widowControl/>
              <w:jc w:val="center"/>
              <w:outlineLvl w:val="1"/>
              <w:rPr>
                <w:rFonts w:ascii="仿宋_GB2312" w:hAnsi="宋体" w:eastAsia="仿宋_GB2312"/>
                <w:kern w:val="0"/>
                <w:sz w:val="18"/>
                <w:szCs w:val="18"/>
              </w:rPr>
            </w:pPr>
          </w:p>
        </w:tc>
        <w:tc>
          <w:tcPr>
            <w:tcW w:w="419" w:type="dxa"/>
            <w:shd w:val="clear" w:color="auto" w:fill="auto"/>
          </w:tcPr>
          <w:p>
            <w:pPr>
              <w:widowControl/>
              <w:jc w:val="center"/>
              <w:outlineLvl w:val="1"/>
              <w:rPr>
                <w:rFonts w:ascii="仿宋_GB2312" w:hAnsi="宋体" w:eastAsia="仿宋_GB2312"/>
                <w:kern w:val="0"/>
                <w:sz w:val="18"/>
                <w:szCs w:val="18"/>
              </w:rPr>
            </w:pPr>
          </w:p>
        </w:tc>
        <w:tc>
          <w:tcPr>
            <w:tcW w:w="578"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68" w:type="dxa"/>
            <w:gridSpan w:val="2"/>
            <w:shd w:val="clear" w:color="auto" w:fill="auto"/>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851" w:type="dxa"/>
            <w:shd w:val="clear" w:color="auto" w:fill="auto"/>
          </w:tcPr>
          <w:p>
            <w:pPr>
              <w:widowControl/>
              <w:jc w:val="center"/>
              <w:outlineLvl w:val="1"/>
              <w:rPr>
                <w:rFonts w:ascii="仿宋_GB2312" w:hAnsi="宋体" w:eastAsia="仿宋_GB2312"/>
                <w:kern w:val="0"/>
                <w:sz w:val="18"/>
                <w:szCs w:val="18"/>
              </w:rPr>
            </w:pPr>
          </w:p>
        </w:tc>
        <w:tc>
          <w:tcPr>
            <w:tcW w:w="1456" w:type="dxa"/>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合计</w:t>
            </w:r>
          </w:p>
        </w:tc>
        <w:tc>
          <w:tcPr>
            <w:tcW w:w="750" w:type="dxa"/>
            <w:shd w:val="clear" w:color="auto" w:fill="auto"/>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51</w:t>
            </w:r>
          </w:p>
        </w:tc>
        <w:tc>
          <w:tcPr>
            <w:tcW w:w="569" w:type="dxa"/>
            <w:gridSpan w:val="2"/>
            <w:shd w:val="clear" w:color="auto" w:fill="auto"/>
          </w:tcPr>
          <w:p>
            <w:pPr>
              <w:widowControl/>
              <w:jc w:val="center"/>
              <w:outlineLvl w:val="1"/>
              <w:rPr>
                <w:rFonts w:ascii="仿宋_GB2312" w:hAnsi="宋体" w:eastAsia="仿宋_GB2312"/>
                <w:kern w:val="0"/>
                <w:sz w:val="18"/>
                <w:szCs w:val="18"/>
              </w:rPr>
            </w:pPr>
          </w:p>
        </w:tc>
        <w:tc>
          <w:tcPr>
            <w:tcW w:w="536" w:type="dxa"/>
            <w:shd w:val="clear" w:color="auto" w:fill="auto"/>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51</w:t>
            </w:r>
          </w:p>
        </w:tc>
        <w:tc>
          <w:tcPr>
            <w:tcW w:w="652"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578" w:type="dxa"/>
            <w:gridSpan w:val="2"/>
            <w:shd w:val="clear" w:color="auto" w:fill="auto"/>
          </w:tcPr>
          <w:p>
            <w:pPr>
              <w:widowControl/>
              <w:jc w:val="center"/>
              <w:outlineLvl w:val="1"/>
              <w:rPr>
                <w:rFonts w:ascii="仿宋_GB2312" w:hAnsi="宋体" w:eastAsia="仿宋_GB2312"/>
                <w:kern w:val="0"/>
                <w:sz w:val="18"/>
                <w:szCs w:val="18"/>
              </w:rPr>
            </w:pPr>
          </w:p>
        </w:tc>
        <w:tc>
          <w:tcPr>
            <w:tcW w:w="419" w:type="dxa"/>
            <w:shd w:val="clear" w:color="auto" w:fill="auto"/>
          </w:tcPr>
          <w:p>
            <w:pPr>
              <w:widowControl/>
              <w:jc w:val="center"/>
              <w:outlineLvl w:val="1"/>
              <w:rPr>
                <w:rFonts w:ascii="仿宋_GB2312" w:hAnsi="宋体" w:eastAsia="仿宋_GB2312"/>
                <w:kern w:val="0"/>
                <w:sz w:val="18"/>
                <w:szCs w:val="18"/>
              </w:rPr>
            </w:pPr>
          </w:p>
        </w:tc>
        <w:tc>
          <w:tcPr>
            <w:tcW w:w="578"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68" w:type="dxa"/>
            <w:gridSpan w:val="2"/>
            <w:shd w:val="clear" w:color="auto" w:fill="auto"/>
          </w:tcPr>
          <w:p>
            <w:pPr>
              <w:widowControl/>
              <w:jc w:val="center"/>
              <w:outlineLvl w:val="1"/>
              <w:rPr>
                <w:rFonts w:ascii="仿宋_GB2312" w:hAnsi="宋体" w:eastAsia="仿宋_GB2312"/>
                <w:kern w:val="0"/>
                <w:sz w:val="18"/>
                <w:szCs w:val="18"/>
              </w:rPr>
            </w:pP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编制单位：</w:t>
      </w:r>
      <w:r>
        <w:rPr>
          <w:rFonts w:hint="eastAsia" w:ascii="仿宋_GB2312" w:hAnsi="宋体" w:eastAsia="仿宋_GB2312" w:cs="宋体"/>
          <w:color w:val="000000"/>
          <w:kern w:val="0"/>
          <w:sz w:val="24"/>
        </w:rPr>
        <w:t>昌吉回族自治州民政局</w:t>
      </w:r>
      <w:r>
        <w:rPr>
          <w:rFonts w:hint="eastAsia" w:ascii="仿宋_GB2312" w:hAnsi="宋体" w:eastAsia="仿宋_GB2312"/>
          <w:kern w:val="0"/>
          <w:sz w:val="24"/>
        </w:rPr>
        <w:t xml:space="preserve">            单位：万元</w:t>
      </w:r>
    </w:p>
    <w:tbl>
      <w:tblPr>
        <w:tblStyle w:val="8"/>
        <w:tblW w:w="9240" w:type="dxa"/>
        <w:tblInd w:w="-173" w:type="dxa"/>
        <w:tblLayout w:type="fixed"/>
        <w:tblCellMar>
          <w:top w:w="0" w:type="dxa"/>
          <w:left w:w="108" w:type="dxa"/>
          <w:bottom w:w="0" w:type="dxa"/>
          <w:right w:w="108" w:type="dxa"/>
        </w:tblCellMar>
      </w:tblPr>
      <w:tblGrid>
        <w:gridCol w:w="1575"/>
        <w:gridCol w:w="1417"/>
        <w:gridCol w:w="1559"/>
        <w:gridCol w:w="1418"/>
        <w:gridCol w:w="1559"/>
        <w:gridCol w:w="1712"/>
      </w:tblGrid>
      <w:tr>
        <w:tblPrEx>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41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公务接待费</w:t>
            </w:r>
          </w:p>
        </w:tc>
      </w:tr>
      <w:tr>
        <w:tblPrEx>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小计</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6.1</w:t>
            </w:r>
          </w:p>
        </w:tc>
        <w:tc>
          <w:tcPr>
            <w:tcW w:w="1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6.1</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6.1</w:t>
            </w:r>
          </w:p>
        </w:tc>
        <w:tc>
          <w:tcPr>
            <w:tcW w:w="171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r>
      <w:tr>
        <w:tblPrEx>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bl>
    <w:p>
      <w:pPr>
        <w:widowControl/>
        <w:outlineLvl w:val="1"/>
        <w:rPr>
          <w:rFonts w:ascii="仿宋_GB2312" w:hAnsi="宋体" w:eastAsia="仿宋_GB2312"/>
          <w:b/>
          <w:kern w:val="0"/>
          <w:sz w:val="32"/>
          <w:szCs w:val="32"/>
        </w:rPr>
      </w:pPr>
      <w:r>
        <w:rPr>
          <w:rFonts w:hint="eastAsia" w:ascii="仿宋_GB2312" w:hAnsi="宋体" w:eastAsia="仿宋_GB2312"/>
          <w:b/>
          <w:kern w:val="0"/>
          <w:sz w:val="28"/>
          <w:szCs w:val="32"/>
        </w:rPr>
        <w:t>备注：无内容应公开空表并说明情况。</w:t>
      </w:r>
    </w:p>
    <w:p>
      <w:pPr>
        <w:widowControl/>
        <w:outlineLvl w:val="1"/>
        <w:rPr>
          <w:rFonts w:ascii="仿宋_GB2312" w:hAnsi="宋体" w:eastAsia="仿宋_GB2312"/>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pPr>
        <w:widowControl/>
        <w:outlineLvl w:val="1"/>
        <w:rPr>
          <w:rFonts w:ascii="仿宋_GB2312" w:hAnsi="宋体" w:eastAsia="仿宋_GB2312"/>
          <w:kern w:val="0"/>
          <w:sz w:val="24"/>
        </w:rPr>
      </w:pPr>
      <w:r>
        <w:rPr>
          <w:rFonts w:hint="eastAsia" w:ascii="仿宋_GB2312" w:hAnsi="宋体" w:eastAsia="仿宋_GB2312"/>
          <w:kern w:val="0"/>
          <w:sz w:val="24"/>
        </w:rPr>
        <w:t>编制单位： 昌吉回族自治州民政局                   单位：万元</w:t>
      </w:r>
    </w:p>
    <w:tbl>
      <w:tblPr>
        <w:tblStyle w:val="8"/>
        <w:tblW w:w="9214" w:type="dxa"/>
        <w:tblInd w:w="-34" w:type="dxa"/>
        <w:tblLayout w:type="fixed"/>
        <w:tblCellMar>
          <w:top w:w="0" w:type="dxa"/>
          <w:left w:w="108" w:type="dxa"/>
          <w:bottom w:w="0" w:type="dxa"/>
          <w:right w:w="108" w:type="dxa"/>
        </w:tblCellMar>
      </w:tblPr>
      <w:tblGrid>
        <w:gridCol w:w="585"/>
        <w:gridCol w:w="457"/>
        <w:gridCol w:w="457"/>
        <w:gridCol w:w="2896"/>
        <w:gridCol w:w="1559"/>
        <w:gridCol w:w="1701"/>
        <w:gridCol w:w="1559"/>
      </w:tblGrid>
      <w:tr>
        <w:tblPrEx>
          <w:tblCellMar>
            <w:top w:w="0" w:type="dxa"/>
            <w:left w:w="108" w:type="dxa"/>
            <w:bottom w:w="0" w:type="dxa"/>
            <w:right w:w="108" w:type="dxa"/>
          </w:tblCellMar>
        </w:tblPrEx>
        <w:trPr>
          <w:trHeight w:val="465" w:hRule="atLeast"/>
        </w:trPr>
        <w:tc>
          <w:tcPr>
            <w:tcW w:w="4395"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819"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CellMar>
            <w:top w:w="0" w:type="dxa"/>
            <w:left w:w="108" w:type="dxa"/>
            <w:bottom w:w="0" w:type="dxa"/>
            <w:right w:w="108" w:type="dxa"/>
          </w:tblCellMar>
        </w:tblPrEx>
        <w:trPr>
          <w:trHeight w:val="360" w:hRule="atLeast"/>
        </w:trPr>
        <w:tc>
          <w:tcPr>
            <w:tcW w:w="1499"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896"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559"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小计</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896"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18"/>
                <w:szCs w:val="18"/>
              </w:rPr>
            </w:pPr>
            <w:r>
              <w:rPr>
                <w:rFonts w:hint="eastAsia" w:ascii="仿宋_GB2312" w:hAnsi="宋体" w:eastAsia="仿宋_GB2312" w:cs="宋体"/>
                <w:b/>
                <w:color w:val="000000"/>
                <w:kern w:val="0"/>
                <w:sz w:val="18"/>
                <w:szCs w:val="18"/>
              </w:rPr>
              <w:t>合计</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bl>
    <w:p>
      <w:pPr>
        <w:widowControl/>
        <w:outlineLvl w:val="1"/>
        <w:rPr>
          <w:rFonts w:hint="eastAsia"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pStyle w:val="2"/>
        <w:rPr>
          <w:rFonts w:hint="eastAsia" w:ascii="仿宋_GB2312" w:hAnsi="宋体" w:eastAsia="仿宋_GB2312"/>
          <w:b/>
          <w:kern w:val="0"/>
          <w:sz w:val="28"/>
          <w:szCs w:val="32"/>
        </w:rPr>
      </w:pPr>
    </w:p>
    <w:p/>
    <w:p>
      <w:pPr>
        <w:spacing w:line="560" w:lineRule="exact"/>
        <w:jc w:val="center"/>
        <w:rPr>
          <w:rFonts w:hint="eastAsia" w:ascii="黑体" w:hAnsi="黑体" w:eastAsia="黑体"/>
          <w:kern w:val="0"/>
          <w:sz w:val="32"/>
          <w:szCs w:val="32"/>
        </w:rPr>
      </w:pPr>
    </w:p>
    <w:p>
      <w:pPr>
        <w:spacing w:line="560" w:lineRule="exact"/>
        <w:jc w:val="center"/>
        <w:rPr>
          <w:rFonts w:ascii="黑体" w:hAnsi="黑体" w:eastAsia="黑体"/>
          <w:kern w:val="0"/>
          <w:sz w:val="32"/>
          <w:szCs w:val="32"/>
        </w:rPr>
      </w:pPr>
      <w:r>
        <w:rPr>
          <w:rFonts w:hint="eastAsia" w:ascii="黑体" w:hAnsi="黑体" w:eastAsia="黑体"/>
          <w:kern w:val="0"/>
          <w:sz w:val="32"/>
          <w:szCs w:val="32"/>
        </w:rPr>
        <w:t>第三部分  2020年昌吉回族自治州民政局预算情况说明</w:t>
      </w:r>
    </w:p>
    <w:p>
      <w:pPr>
        <w:spacing w:line="560" w:lineRule="exact"/>
        <w:jc w:val="center"/>
        <w:rPr>
          <w:rFonts w:ascii="黑体" w:hAnsi="黑体" w:eastAsia="黑体"/>
          <w:kern w:val="0"/>
          <w:sz w:val="32"/>
          <w:szCs w:val="32"/>
        </w:rPr>
      </w:pPr>
    </w:p>
    <w:p>
      <w:pPr>
        <w:spacing w:line="560" w:lineRule="exact"/>
        <w:ind w:firstLine="640" w:firstLineChars="200"/>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关于昌吉回族自治州民政局2020年收支预算情况的总体说明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按照全口径预算的原则，昌吉回族自治州民政局2020年所有收入和支出均纳入部门预算管理。收支总预算431.05    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收入预算包括：一般公共预算431.05万元。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支出预算包括：社会保障和就业支出431.05万元。</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二、关于昌吉回族自治州民政局2020年收入预算情况说明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昌吉回族自治州民政局收入预算431.05元，其中：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一般公共预算431.05万元，占100%，比上年减少142.28万元，主要原因是人员退休离职2人，工资福利和人均定额支出减少,公用经费支出减少；    </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color w:val="000000"/>
          <w:kern w:val="0"/>
          <w:sz w:val="32"/>
          <w:szCs w:val="32"/>
        </w:rPr>
        <w:t>政府性基金预</w:t>
      </w:r>
      <w:r>
        <w:rPr>
          <w:rFonts w:hint="eastAsia" w:ascii="仿宋_GB2312" w:hAnsi="宋体" w:eastAsia="仿宋_GB2312" w:cs="宋体"/>
          <w:kern w:val="0"/>
          <w:sz w:val="32"/>
          <w:szCs w:val="32"/>
        </w:rPr>
        <w:t>算未安排或 0 万元， 占0%，比上年增加0万元，主要原因是未安排此项经费支出；</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三、关于昌吉回族自治州民政局单位2020年支出预算情况说明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昌吉回族自治州民政局2020年支出预算431.05元，其中：</w:t>
      </w:r>
    </w:p>
    <w:p>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基本支出380.05万元，占88.17%，比上年减少101.28   万元，主要原因是人员退休离职2人，工资福利和人均定额支出减少, 公用经费支出减少。</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项目支出51万元，占11.83%，比减少41万元，主要原因是项目支出减少。</w:t>
      </w:r>
    </w:p>
    <w:p>
      <w:pPr>
        <w:spacing w:line="560" w:lineRule="exact"/>
        <w:ind w:firstLine="640" w:firstLineChars="200"/>
        <w:rPr>
          <w:rFonts w:ascii="黑体" w:hAnsi="黑体" w:eastAsia="黑体" w:cs="宋体"/>
          <w:bCs/>
          <w:kern w:val="0"/>
          <w:sz w:val="32"/>
          <w:szCs w:val="32"/>
        </w:rPr>
      </w:pPr>
      <w:r>
        <w:rPr>
          <w:rFonts w:hint="eastAsia" w:ascii="黑体" w:hAnsi="黑体" w:eastAsia="黑体" w:cs="宋体"/>
          <w:bCs/>
          <w:kern w:val="0"/>
          <w:sz w:val="32"/>
          <w:szCs w:val="32"/>
        </w:rPr>
        <w:t>四、关于</w:t>
      </w:r>
      <w:r>
        <w:rPr>
          <w:rFonts w:hint="eastAsia" w:ascii="黑体" w:hAnsi="宋体" w:eastAsia="黑体" w:cs="宋体"/>
          <w:kern w:val="0"/>
          <w:sz w:val="32"/>
          <w:szCs w:val="32"/>
        </w:rPr>
        <w:t>昌吉回族自治州民政局</w:t>
      </w:r>
      <w:r>
        <w:rPr>
          <w:rFonts w:hint="eastAsia" w:ascii="黑体" w:hAnsi="黑体" w:eastAsia="黑体" w:cs="宋体"/>
          <w:bCs/>
          <w:kern w:val="0"/>
          <w:sz w:val="32"/>
          <w:szCs w:val="32"/>
        </w:rPr>
        <w:t>2020年财政拨款收支预算情况的总体说明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2020年财政拨款收支总预算431.05万元。</w:t>
      </w:r>
    </w:p>
    <w:p>
      <w:pPr>
        <w:spacing w:line="560" w:lineRule="exact"/>
        <w:ind w:firstLine="616" w:firstLineChars="200"/>
        <w:rPr>
          <w:rFonts w:ascii="仿宋_GB2312" w:hAnsi="宋体" w:eastAsia="仿宋_GB2312" w:cs="宋体"/>
          <w:b/>
          <w:spacing w:val="-6"/>
          <w:kern w:val="0"/>
          <w:sz w:val="32"/>
          <w:szCs w:val="32"/>
        </w:rPr>
      </w:pPr>
      <w:r>
        <w:rPr>
          <w:rFonts w:hint="eastAsia" w:ascii="仿宋_GB2312" w:hAnsi="宋体" w:eastAsia="仿宋_GB2312" w:cs="宋体"/>
          <w:spacing w:val="-6"/>
          <w:kern w:val="0"/>
          <w:sz w:val="32"/>
          <w:szCs w:val="32"/>
        </w:rPr>
        <w:t>收入全部为一般公共预算拨款，无政府性基金预算拨款。</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五、关于昌吉回族自治州民政局2020年一般公共预算当年拨款情况说明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（一）一般公用预算当年拨款规模变化情况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昌吉回族自治州民政局2020年一般公共预算拨款基本支出380.05万元，比上年执行数减少101.28万元，下降21.04%。主要原因是：人员退休离职2人，工资福利和人均定额支出减少, 公用经费支出减少。     </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（二）一般公共预算当年拨款结构情况</w:t>
      </w:r>
    </w:p>
    <w:p>
      <w:pPr>
        <w:spacing w:line="560" w:lineRule="exact"/>
        <w:ind w:firstLine="640" w:firstLineChars="200"/>
        <w:rPr>
          <w:rFonts w:ascii="仿宋_GB2312" w:hAnsi="宋体" w:eastAsia="仿宋_GB2312" w:cs="宋体"/>
          <w:kern w:val="0"/>
          <w:sz w:val="32"/>
          <w:szCs w:val="32"/>
        </w:rPr>
      </w:pPr>
      <w:r>
        <w:rPr>
          <w:rFonts w:hint="eastAsia" w:ascii="仿宋_GB2312" w:eastAsia="仿宋_GB2312"/>
          <w:sz w:val="32"/>
          <w:szCs w:val="32"/>
        </w:rPr>
        <w:t>1.社会保障和就业支出</w:t>
      </w:r>
      <w:r>
        <w:rPr>
          <w:rFonts w:hint="eastAsia" w:ascii="仿宋_GB2312" w:eastAsia="仿宋_GB2312"/>
          <w:sz w:val="32"/>
          <w:szCs w:val="32"/>
          <w:lang w:val="en-US" w:eastAsia="zh-CN"/>
        </w:rPr>
        <w:t>(类）</w:t>
      </w:r>
      <w:r>
        <w:rPr>
          <w:rFonts w:hint="eastAsia" w:ascii="仿宋_GB2312" w:eastAsia="仿宋_GB2312"/>
          <w:sz w:val="32"/>
          <w:szCs w:val="32"/>
        </w:rPr>
        <w:t>431.05</w:t>
      </w:r>
      <w:r>
        <w:rPr>
          <w:rFonts w:hint="eastAsia" w:ascii="仿宋_GB2312" w:hAnsi="宋体" w:eastAsia="仿宋_GB2312" w:cs="宋体"/>
          <w:kern w:val="0"/>
          <w:sz w:val="32"/>
          <w:szCs w:val="32"/>
        </w:rPr>
        <w:t>万元，占100%。</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（三）一般公共预算当年拨款具体使用情况</w:t>
      </w:r>
    </w:p>
    <w:p>
      <w:pPr>
        <w:spacing w:line="560" w:lineRule="exact"/>
        <w:ind w:firstLine="640" w:firstLineChars="200"/>
        <w:rPr>
          <w:rFonts w:ascii="仿宋_GB2312" w:hAnsi="宋体" w:eastAsia="仿宋_GB2312" w:cs="宋体"/>
          <w:kern w:val="0"/>
          <w:sz w:val="32"/>
          <w:szCs w:val="32"/>
          <w:highlight w:val="magenta"/>
        </w:rPr>
      </w:pPr>
      <w:r>
        <w:rPr>
          <w:rFonts w:hint="eastAsia" w:ascii="仿宋_GB2312" w:hAnsi="宋体" w:eastAsia="仿宋_GB2312" w:cs="宋体"/>
          <w:kern w:val="0"/>
          <w:sz w:val="32"/>
          <w:szCs w:val="32"/>
        </w:rPr>
        <w:t>1.社会保障和就业支出</w:t>
      </w:r>
      <w:r>
        <w:rPr>
          <w:rFonts w:hint="eastAsia" w:ascii="仿宋_GB2312" w:hAnsi="宋体" w:eastAsia="仿宋_GB2312" w:cs="宋体"/>
          <w:kern w:val="0"/>
          <w:sz w:val="32"/>
          <w:szCs w:val="32"/>
          <w:lang w:eastAsia="zh-CN"/>
        </w:rPr>
        <w:t>（类）</w:t>
      </w:r>
      <w:r>
        <w:rPr>
          <w:rFonts w:hint="eastAsia" w:ascii="仿宋_GB2312" w:hAnsi="宋体" w:eastAsia="仿宋_GB2312" w:cs="宋体"/>
          <w:kern w:val="0"/>
          <w:sz w:val="32"/>
          <w:szCs w:val="32"/>
        </w:rPr>
        <w:t>民政管理事务</w:t>
      </w:r>
      <w:r>
        <w:rPr>
          <w:rFonts w:hint="eastAsia" w:ascii="仿宋_GB2312" w:hAnsi="宋体" w:eastAsia="仿宋_GB2312" w:cs="宋体"/>
          <w:kern w:val="0"/>
          <w:sz w:val="32"/>
          <w:szCs w:val="32"/>
          <w:lang w:eastAsia="zh-CN"/>
        </w:rPr>
        <w:t>（款）</w:t>
      </w:r>
      <w:r>
        <w:rPr>
          <w:rFonts w:hint="eastAsia" w:ascii="仿宋_GB2312" w:hAnsi="宋体" w:eastAsia="仿宋_GB2312" w:cs="宋体"/>
          <w:kern w:val="0"/>
          <w:sz w:val="32"/>
          <w:szCs w:val="32"/>
        </w:rPr>
        <w:t>行政运行</w:t>
      </w:r>
      <w:r>
        <w:rPr>
          <w:rFonts w:hint="eastAsia" w:ascii="仿宋_GB2312" w:hAnsi="宋体" w:eastAsia="仿宋_GB2312" w:cs="宋体"/>
          <w:kern w:val="0"/>
          <w:sz w:val="32"/>
          <w:szCs w:val="32"/>
          <w:lang w:eastAsia="zh-CN"/>
        </w:rPr>
        <w:t>（项）</w:t>
      </w:r>
      <w:r>
        <w:rPr>
          <w:rFonts w:ascii="仿宋_GB2312" w:hAnsi="宋体" w:eastAsia="仿宋_GB2312" w:cs="宋体"/>
          <w:kern w:val="0"/>
          <w:sz w:val="32"/>
          <w:szCs w:val="32"/>
        </w:rPr>
        <w:t>:20</w:t>
      </w:r>
      <w:r>
        <w:rPr>
          <w:rFonts w:hint="eastAsia" w:ascii="仿宋_GB2312" w:hAnsi="宋体" w:eastAsia="仿宋_GB2312" w:cs="宋体"/>
          <w:kern w:val="0"/>
          <w:sz w:val="32"/>
          <w:szCs w:val="32"/>
        </w:rPr>
        <w:t>20年预算数为380.05万元，比上年执行数减少101.28万元，下降21.04</w:t>
      </w:r>
      <w:r>
        <w:rPr>
          <w:rFonts w:ascii="仿宋_GB2312" w:hAnsi="宋体" w:eastAsia="仿宋_GB2312" w:cs="宋体"/>
          <w:kern w:val="0"/>
          <w:sz w:val="32"/>
          <w:szCs w:val="32"/>
        </w:rPr>
        <w:t>%</w:t>
      </w:r>
      <w:r>
        <w:rPr>
          <w:rFonts w:hint="eastAsia" w:ascii="仿宋_GB2312" w:hAnsi="宋体" w:eastAsia="仿宋_GB2312" w:cs="宋体"/>
          <w:kern w:val="0"/>
          <w:sz w:val="32"/>
          <w:szCs w:val="32"/>
        </w:rPr>
        <w:t>，主要原因是：人员退休离职2人，工资福利和人均定额支出减少, 公用经费支出减少。</w:t>
      </w:r>
    </w:p>
    <w:p>
      <w:pPr>
        <w:spacing w:line="560" w:lineRule="exact"/>
        <w:ind w:firstLine="640" w:firstLineChars="200"/>
        <w:rPr>
          <w:rFonts w:hint="default" w:ascii="仿宋_GB2312" w:hAnsi="宋体" w:eastAsia="仿宋_GB2312" w:cs="宋体"/>
          <w:kern w:val="0"/>
          <w:sz w:val="32"/>
          <w:szCs w:val="32"/>
          <w:lang w:val="en-US" w:eastAsia="zh-CN"/>
        </w:rPr>
      </w:pPr>
      <w:r>
        <w:rPr>
          <w:rFonts w:hint="eastAsia" w:ascii="楷体_GB2312" w:hAnsi="宋体" w:eastAsia="楷体_GB2312" w:cs="宋体"/>
          <w:kern w:val="0"/>
          <w:sz w:val="32"/>
          <w:szCs w:val="32"/>
        </w:rPr>
        <w:t>2.</w:t>
      </w:r>
      <w:r>
        <w:rPr>
          <w:rFonts w:ascii="仿宋_GB2312" w:hAnsi="宋体" w:eastAsia="仿宋_GB2312" w:cs="宋体"/>
          <w:kern w:val="0"/>
          <w:sz w:val="32"/>
          <w:szCs w:val="32"/>
        </w:rPr>
        <w:t xml:space="preserve"> </w:t>
      </w:r>
      <w:r>
        <w:rPr>
          <w:rFonts w:hint="eastAsia" w:ascii="仿宋_GB2312" w:hAnsi="宋体" w:eastAsia="仿宋_GB2312" w:cs="宋体"/>
          <w:kern w:val="0"/>
          <w:sz w:val="32"/>
          <w:szCs w:val="32"/>
        </w:rPr>
        <w:t>社会保障和就业支出</w:t>
      </w:r>
      <w:r>
        <w:rPr>
          <w:rFonts w:hint="eastAsia" w:ascii="仿宋_GB2312" w:hAnsi="宋体" w:eastAsia="仿宋_GB2312" w:cs="宋体"/>
          <w:kern w:val="0"/>
          <w:sz w:val="32"/>
          <w:szCs w:val="32"/>
          <w:lang w:eastAsia="zh-CN"/>
        </w:rPr>
        <w:t>（类）</w:t>
      </w:r>
      <w:r>
        <w:rPr>
          <w:rFonts w:hint="eastAsia" w:ascii="仿宋_GB2312" w:hAnsi="宋体" w:eastAsia="仿宋_GB2312" w:cs="宋体"/>
          <w:kern w:val="0"/>
          <w:sz w:val="32"/>
          <w:szCs w:val="32"/>
        </w:rPr>
        <w:t>民政管理事务</w:t>
      </w:r>
      <w:r>
        <w:rPr>
          <w:rFonts w:hint="eastAsia" w:ascii="仿宋_GB2312" w:hAnsi="宋体" w:eastAsia="仿宋_GB2312" w:cs="宋体"/>
          <w:kern w:val="0"/>
          <w:sz w:val="32"/>
          <w:szCs w:val="32"/>
          <w:lang w:eastAsia="zh-CN"/>
        </w:rPr>
        <w:t>（款）</w:t>
      </w:r>
      <w:r>
        <w:rPr>
          <w:rFonts w:hint="eastAsia" w:ascii="仿宋_GB2312" w:hAnsi="宋体" w:eastAsia="仿宋_GB2312" w:cs="宋体"/>
          <w:kern w:val="0"/>
          <w:sz w:val="32"/>
          <w:szCs w:val="32"/>
        </w:rPr>
        <w:t>社会组织管理</w:t>
      </w:r>
      <w:r>
        <w:rPr>
          <w:rFonts w:hint="eastAsia" w:ascii="仿宋_GB2312" w:hAnsi="宋体" w:eastAsia="仿宋_GB2312" w:cs="宋体"/>
          <w:kern w:val="0"/>
          <w:sz w:val="32"/>
          <w:szCs w:val="32"/>
          <w:lang w:eastAsia="zh-CN"/>
        </w:rPr>
        <w:t>（项）：</w:t>
      </w:r>
      <w:r>
        <w:rPr>
          <w:rFonts w:ascii="仿宋_GB2312" w:hAnsi="宋体" w:eastAsia="仿宋_GB2312" w:cs="宋体"/>
          <w:kern w:val="0"/>
          <w:sz w:val="32"/>
          <w:szCs w:val="32"/>
        </w:rPr>
        <w:t>20</w:t>
      </w:r>
      <w:r>
        <w:rPr>
          <w:rFonts w:hint="eastAsia" w:ascii="仿宋_GB2312" w:hAnsi="宋体" w:eastAsia="仿宋_GB2312" w:cs="宋体"/>
          <w:kern w:val="0"/>
          <w:sz w:val="32"/>
          <w:szCs w:val="32"/>
        </w:rPr>
        <w:t>20年预算数为5万元，与上年相比减少9万元</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下降</w:t>
      </w:r>
      <w:r>
        <w:rPr>
          <w:rFonts w:hint="eastAsia" w:ascii="仿宋_GB2312" w:hAnsi="宋体" w:eastAsia="仿宋_GB2312" w:cs="宋体"/>
          <w:kern w:val="0"/>
          <w:sz w:val="32"/>
          <w:szCs w:val="32"/>
          <w:lang w:val="en-US" w:eastAsia="zh-CN"/>
        </w:rPr>
        <w:t>64.29</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val="en-US" w:eastAsia="zh-CN"/>
        </w:rPr>
        <w:t>减少社会组织管理支出。</w:t>
      </w:r>
    </w:p>
    <w:p>
      <w:pPr>
        <w:spacing w:line="560" w:lineRule="exact"/>
        <w:ind w:firstLine="640" w:firstLineChars="200"/>
        <w:rPr>
          <w:rFonts w:hint="default" w:ascii="仿宋_GB2312" w:hAnsi="宋体" w:eastAsia="仿宋_GB2312" w:cs="宋体"/>
          <w:kern w:val="0"/>
          <w:sz w:val="32"/>
          <w:szCs w:val="32"/>
          <w:lang w:val="en-US" w:eastAsia="zh-CN"/>
        </w:rPr>
      </w:pPr>
      <w:r>
        <w:rPr>
          <w:rFonts w:hint="eastAsia" w:ascii="楷体_GB2312" w:hAnsi="宋体" w:eastAsia="楷体_GB2312" w:cs="宋体"/>
          <w:kern w:val="0"/>
          <w:sz w:val="32"/>
          <w:szCs w:val="32"/>
        </w:rPr>
        <w:t>3.</w:t>
      </w:r>
      <w:r>
        <w:rPr>
          <w:rFonts w:ascii="仿宋_GB2312" w:hAnsi="宋体" w:eastAsia="仿宋_GB2312" w:cs="宋体"/>
          <w:kern w:val="0"/>
          <w:sz w:val="32"/>
          <w:szCs w:val="32"/>
        </w:rPr>
        <w:t xml:space="preserve"> </w:t>
      </w:r>
      <w:r>
        <w:rPr>
          <w:rFonts w:hint="eastAsia" w:ascii="仿宋_GB2312" w:hAnsi="宋体" w:eastAsia="仿宋_GB2312" w:cs="宋体"/>
          <w:kern w:val="0"/>
          <w:sz w:val="32"/>
          <w:szCs w:val="32"/>
        </w:rPr>
        <w:t>社会保障和就业支出</w:t>
      </w:r>
      <w:r>
        <w:rPr>
          <w:rFonts w:hint="eastAsia" w:ascii="仿宋_GB2312" w:hAnsi="宋体" w:eastAsia="仿宋_GB2312" w:cs="宋体"/>
          <w:kern w:val="0"/>
          <w:sz w:val="32"/>
          <w:szCs w:val="32"/>
          <w:lang w:eastAsia="zh-CN"/>
        </w:rPr>
        <w:t>（类）</w:t>
      </w:r>
      <w:r>
        <w:rPr>
          <w:rFonts w:hint="eastAsia" w:ascii="仿宋_GB2312" w:hAnsi="宋体" w:eastAsia="仿宋_GB2312" w:cs="宋体"/>
          <w:kern w:val="0"/>
          <w:sz w:val="32"/>
          <w:szCs w:val="32"/>
        </w:rPr>
        <w:t>民政管理事务</w:t>
      </w:r>
      <w:r>
        <w:rPr>
          <w:rFonts w:hint="eastAsia" w:ascii="仿宋_GB2312" w:hAnsi="宋体" w:eastAsia="仿宋_GB2312" w:cs="宋体"/>
          <w:kern w:val="0"/>
          <w:sz w:val="32"/>
          <w:szCs w:val="32"/>
          <w:lang w:eastAsia="zh-CN"/>
        </w:rPr>
        <w:t>（款）</w:t>
      </w:r>
      <w:r>
        <w:rPr>
          <w:rFonts w:hint="eastAsia" w:ascii="仿宋_GB2312" w:hAnsi="宋体" w:eastAsia="仿宋_GB2312" w:cs="宋体"/>
          <w:kern w:val="0"/>
          <w:sz w:val="32"/>
          <w:szCs w:val="32"/>
        </w:rPr>
        <w:t>行政区划和地名管理</w:t>
      </w:r>
      <w:r>
        <w:rPr>
          <w:rFonts w:hint="eastAsia" w:ascii="仿宋_GB2312" w:hAnsi="宋体" w:eastAsia="仿宋_GB2312" w:cs="宋体"/>
          <w:kern w:val="0"/>
          <w:sz w:val="32"/>
          <w:szCs w:val="32"/>
          <w:lang w:eastAsia="zh-CN"/>
        </w:rPr>
        <w:t>（项）</w:t>
      </w:r>
      <w:r>
        <w:rPr>
          <w:rFonts w:ascii="仿宋_GB2312" w:hAnsi="宋体" w:eastAsia="仿宋_GB2312" w:cs="宋体"/>
          <w:kern w:val="0"/>
          <w:sz w:val="32"/>
          <w:szCs w:val="32"/>
        </w:rPr>
        <w:t>20</w:t>
      </w:r>
      <w:r>
        <w:rPr>
          <w:rFonts w:hint="eastAsia" w:ascii="仿宋_GB2312" w:hAnsi="宋体" w:eastAsia="仿宋_GB2312" w:cs="宋体"/>
          <w:kern w:val="0"/>
          <w:sz w:val="32"/>
          <w:szCs w:val="32"/>
        </w:rPr>
        <w:t>20年预算数为15万元，与上年相比增加5万元</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lang w:val="en-US" w:eastAsia="zh-CN"/>
        </w:rPr>
        <w:t>增长50%，主要原因是：增加区划地名项目支出。</w:t>
      </w:r>
    </w:p>
    <w:p>
      <w:pPr>
        <w:spacing w:line="560" w:lineRule="exact"/>
        <w:ind w:firstLine="640" w:firstLineChars="200"/>
        <w:rPr>
          <w:rFonts w:hint="default" w:ascii="仿宋_GB2312" w:hAnsi="宋体" w:eastAsia="仿宋_GB2312" w:cs="宋体"/>
          <w:kern w:val="0"/>
          <w:sz w:val="32"/>
          <w:szCs w:val="32"/>
          <w:lang w:val="en-US" w:eastAsia="zh-CN"/>
        </w:rPr>
      </w:pPr>
      <w:r>
        <w:rPr>
          <w:rFonts w:hint="eastAsia" w:ascii="楷体_GB2312" w:hAnsi="宋体" w:eastAsia="楷体_GB2312" w:cs="宋体"/>
          <w:kern w:val="0"/>
          <w:sz w:val="32"/>
          <w:szCs w:val="32"/>
        </w:rPr>
        <w:t>4.</w:t>
      </w:r>
      <w:r>
        <w:rPr>
          <w:rFonts w:ascii="仿宋_GB2312" w:hAnsi="宋体" w:eastAsia="仿宋_GB2312" w:cs="宋体"/>
          <w:kern w:val="0"/>
          <w:sz w:val="32"/>
          <w:szCs w:val="32"/>
        </w:rPr>
        <w:t xml:space="preserve"> </w:t>
      </w:r>
      <w:r>
        <w:rPr>
          <w:rFonts w:hint="eastAsia" w:ascii="仿宋_GB2312" w:hAnsi="宋体" w:eastAsia="仿宋_GB2312" w:cs="宋体"/>
          <w:kern w:val="0"/>
          <w:sz w:val="32"/>
          <w:szCs w:val="32"/>
        </w:rPr>
        <w:t>社会保障和就业支出</w:t>
      </w:r>
      <w:r>
        <w:rPr>
          <w:rFonts w:hint="eastAsia" w:ascii="仿宋_GB2312" w:hAnsi="宋体" w:eastAsia="仿宋_GB2312" w:cs="宋体"/>
          <w:kern w:val="0"/>
          <w:sz w:val="32"/>
          <w:szCs w:val="32"/>
          <w:lang w:eastAsia="zh-CN"/>
        </w:rPr>
        <w:t>（类）</w:t>
      </w:r>
      <w:r>
        <w:rPr>
          <w:rFonts w:hint="eastAsia" w:ascii="仿宋_GB2312" w:hAnsi="宋体" w:eastAsia="仿宋_GB2312" w:cs="宋体"/>
          <w:kern w:val="0"/>
          <w:sz w:val="32"/>
          <w:szCs w:val="32"/>
        </w:rPr>
        <w:t>民政管理事务</w:t>
      </w:r>
      <w:r>
        <w:rPr>
          <w:rFonts w:hint="eastAsia" w:ascii="仿宋_GB2312" w:hAnsi="宋体" w:eastAsia="仿宋_GB2312" w:cs="宋体"/>
          <w:kern w:val="0"/>
          <w:sz w:val="32"/>
          <w:szCs w:val="32"/>
          <w:lang w:eastAsia="zh-CN"/>
        </w:rPr>
        <w:t>（款）</w:t>
      </w:r>
      <w:r>
        <w:rPr>
          <w:rFonts w:hint="eastAsia" w:ascii="仿宋_GB2312" w:hAnsi="宋体" w:eastAsia="仿宋_GB2312" w:cs="宋体"/>
          <w:kern w:val="0"/>
          <w:sz w:val="32"/>
          <w:szCs w:val="32"/>
        </w:rPr>
        <w:t>其他民政管理事务支出</w:t>
      </w:r>
      <w:r>
        <w:rPr>
          <w:rFonts w:hint="eastAsia" w:ascii="仿宋_GB2312" w:hAnsi="宋体" w:eastAsia="仿宋_GB2312" w:cs="宋体"/>
          <w:kern w:val="0"/>
          <w:sz w:val="32"/>
          <w:szCs w:val="32"/>
          <w:lang w:eastAsia="zh-CN"/>
        </w:rPr>
        <w:t>（项）</w:t>
      </w:r>
      <w:r>
        <w:rPr>
          <w:rFonts w:ascii="仿宋_GB2312" w:hAnsi="宋体" w:eastAsia="仿宋_GB2312" w:cs="宋体"/>
          <w:kern w:val="0"/>
          <w:sz w:val="32"/>
          <w:szCs w:val="32"/>
        </w:rPr>
        <w:t>20</w:t>
      </w:r>
      <w:r>
        <w:rPr>
          <w:rFonts w:hint="eastAsia" w:ascii="仿宋_GB2312" w:hAnsi="宋体" w:eastAsia="仿宋_GB2312" w:cs="宋体"/>
          <w:kern w:val="0"/>
          <w:sz w:val="32"/>
          <w:szCs w:val="32"/>
        </w:rPr>
        <w:t>20年预算数为20万元，与上年相比增加5万元</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lang w:val="en-US" w:eastAsia="zh-CN"/>
        </w:rPr>
        <w:t>增长33.33%，</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val="en-US" w:eastAsia="zh-CN"/>
        </w:rPr>
        <w:t>增加社会救助项目支出。</w:t>
      </w:r>
    </w:p>
    <w:p>
      <w:pPr>
        <w:spacing w:line="560" w:lineRule="exact"/>
        <w:ind w:firstLine="640" w:firstLineChars="200"/>
        <w:rPr>
          <w:rFonts w:hint="eastAsia" w:ascii="仿宋_GB2312" w:hAnsi="宋体" w:eastAsia="仿宋_GB2312" w:cs="宋体"/>
          <w:kern w:val="0"/>
          <w:sz w:val="32"/>
          <w:szCs w:val="32"/>
          <w:lang w:val="en-US" w:eastAsia="zh-CN"/>
        </w:rPr>
      </w:pPr>
      <w:r>
        <w:rPr>
          <w:rFonts w:hint="eastAsia" w:ascii="楷体_GB2312" w:hAnsi="宋体" w:eastAsia="楷体_GB2312" w:cs="宋体"/>
          <w:kern w:val="0"/>
          <w:sz w:val="32"/>
          <w:szCs w:val="32"/>
        </w:rPr>
        <w:t>5.</w:t>
      </w:r>
      <w:r>
        <w:rPr>
          <w:rFonts w:ascii="仿宋_GB2312" w:hAnsi="宋体" w:eastAsia="仿宋_GB2312" w:cs="宋体"/>
          <w:kern w:val="0"/>
          <w:sz w:val="32"/>
          <w:szCs w:val="32"/>
        </w:rPr>
        <w:t xml:space="preserve"> </w:t>
      </w:r>
      <w:r>
        <w:rPr>
          <w:rFonts w:hint="eastAsia" w:ascii="仿宋_GB2312" w:hAnsi="宋体" w:eastAsia="仿宋_GB2312" w:cs="宋体"/>
          <w:kern w:val="0"/>
          <w:sz w:val="32"/>
          <w:szCs w:val="32"/>
        </w:rPr>
        <w:t>社会保障和就业支出</w:t>
      </w:r>
      <w:r>
        <w:rPr>
          <w:rFonts w:hint="eastAsia" w:ascii="仿宋_GB2312" w:hAnsi="宋体" w:eastAsia="仿宋_GB2312" w:cs="宋体"/>
          <w:kern w:val="0"/>
          <w:sz w:val="32"/>
          <w:szCs w:val="32"/>
          <w:lang w:eastAsia="zh-CN"/>
        </w:rPr>
        <w:t>（类）</w:t>
      </w:r>
      <w:r>
        <w:rPr>
          <w:rFonts w:hint="eastAsia" w:ascii="仿宋_GB2312" w:hAnsi="宋体" w:eastAsia="仿宋_GB2312" w:cs="宋体"/>
          <w:kern w:val="0"/>
          <w:sz w:val="32"/>
          <w:szCs w:val="32"/>
        </w:rPr>
        <w:t>民政管理事务</w:t>
      </w:r>
      <w:r>
        <w:rPr>
          <w:rFonts w:hint="eastAsia" w:ascii="仿宋_GB2312" w:hAnsi="宋体" w:eastAsia="仿宋_GB2312" w:cs="宋体"/>
          <w:kern w:val="0"/>
          <w:sz w:val="32"/>
          <w:szCs w:val="32"/>
          <w:lang w:eastAsia="zh-CN"/>
        </w:rPr>
        <w:t>（款）</w:t>
      </w:r>
      <w:r>
        <w:rPr>
          <w:rFonts w:hint="eastAsia" w:ascii="仿宋_GB2312" w:hAnsi="宋体" w:eastAsia="仿宋_GB2312" w:cs="宋体"/>
          <w:kern w:val="0"/>
          <w:sz w:val="32"/>
          <w:szCs w:val="32"/>
        </w:rPr>
        <w:t>社会组织管理</w:t>
      </w:r>
      <w:r>
        <w:rPr>
          <w:rFonts w:hint="eastAsia" w:ascii="仿宋_GB2312" w:hAnsi="宋体" w:eastAsia="仿宋_GB2312" w:cs="宋体"/>
          <w:kern w:val="0"/>
          <w:sz w:val="32"/>
          <w:szCs w:val="32"/>
          <w:lang w:eastAsia="zh-CN"/>
        </w:rPr>
        <w:t>（项）</w:t>
      </w:r>
      <w:r>
        <w:rPr>
          <w:rFonts w:ascii="仿宋_GB2312" w:hAnsi="宋体" w:eastAsia="仿宋_GB2312" w:cs="宋体"/>
          <w:kern w:val="0"/>
          <w:sz w:val="32"/>
          <w:szCs w:val="32"/>
        </w:rPr>
        <w:t>20</w:t>
      </w:r>
      <w:r>
        <w:rPr>
          <w:rFonts w:hint="eastAsia" w:ascii="仿宋_GB2312" w:hAnsi="宋体" w:eastAsia="仿宋_GB2312" w:cs="宋体"/>
          <w:kern w:val="0"/>
          <w:sz w:val="32"/>
          <w:szCs w:val="32"/>
        </w:rPr>
        <w:t>20年预算数为11万元，与上年相比增加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lang w:val="en-US" w:eastAsia="zh-CN"/>
        </w:rPr>
        <w:t>增长0%，</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val="en-US" w:eastAsia="zh-CN"/>
        </w:rPr>
        <w:t xml:space="preserve">项目内容和经费没有变化。  </w:t>
      </w:r>
    </w:p>
    <w:p>
      <w:pPr>
        <w:spacing w:line="560" w:lineRule="exact"/>
        <w:ind w:firstLine="643" w:firstLineChars="200"/>
        <w:rPr>
          <w:rFonts w:ascii="黑体" w:hAnsi="宋体" w:eastAsia="黑体" w:cs="宋体"/>
          <w:kern w:val="0"/>
          <w:sz w:val="32"/>
          <w:szCs w:val="32"/>
        </w:rPr>
      </w:pPr>
      <w:r>
        <w:rPr>
          <w:rFonts w:hint="eastAsia" w:ascii="仿宋_GB2312" w:hAnsi="宋体" w:eastAsia="仿宋_GB2312" w:cs="宋体"/>
          <w:b/>
          <w:bCs/>
          <w:kern w:val="0"/>
          <w:sz w:val="32"/>
          <w:szCs w:val="32"/>
          <w:lang w:val="en-US" w:eastAsia="zh-CN"/>
        </w:rPr>
        <w:t>六</w:t>
      </w:r>
      <w:r>
        <w:rPr>
          <w:rFonts w:hint="eastAsia" w:ascii="黑体" w:hAnsi="宋体" w:eastAsia="黑体" w:cs="宋体"/>
          <w:b/>
          <w:bCs/>
          <w:kern w:val="0"/>
          <w:sz w:val="32"/>
          <w:szCs w:val="32"/>
        </w:rPr>
        <w:t>、</w:t>
      </w:r>
      <w:r>
        <w:rPr>
          <w:rFonts w:hint="eastAsia" w:ascii="黑体" w:hAnsi="宋体" w:eastAsia="黑体" w:cs="宋体"/>
          <w:kern w:val="0"/>
          <w:sz w:val="32"/>
          <w:szCs w:val="32"/>
        </w:rPr>
        <w:t>关于昌吉回族自治州民政局2020年一般公共预算基本支出情况说明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昌吉回族自治州民政局2020年一般公共预算基本支出380.05万元， 其中：</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人员经费340.57万元，主要包括：基本工资120.29万元、津贴补贴38.96万元、奖金8.38万元、伙食补助费28.98万元、绩效工资22.47万元、机关事业单位基本养老保险缴费30.42万元、职工基本医疗保险缴费24.38万元、公务员医疗补助缴费10.27万元、其他社会保障缴费0.91万元、住房公积金22.81万元、其他工资福利支出2.61万元、离休费23.71万元、奖励金1.98万元、其他对个人和家庭的补助4.4万元等。</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公用经费39.48万元，主要包括：办公费5.64万元、印刷费2万元、水费0.4万元、电费0.6万元、邮电费4万元、物业管理费4万元、差旅费2万元、培训费0.67万元、工会经费2.41万元、福利费5.53万元、公务用车运行维护费6.1万元、其他商品和服务支出6.13万元。</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七、关于昌吉回族自治州民政局2020年项目支出情况说明</w:t>
      </w:r>
    </w:p>
    <w:p>
      <w:pPr>
        <w:widowControl/>
        <w:spacing w:line="580" w:lineRule="exact"/>
        <w:ind w:firstLine="642"/>
        <w:jc w:val="left"/>
        <w:rPr>
          <w:rFonts w:ascii="仿宋_GB2312" w:hAnsi="黑体" w:eastAsia="仿宋_GB2312"/>
          <w:b/>
          <w:sz w:val="32"/>
          <w:szCs w:val="32"/>
        </w:rPr>
      </w:pPr>
      <w:r>
        <w:rPr>
          <w:rFonts w:hint="eastAsia" w:ascii="仿宋_GB2312" w:hAnsi="黑体" w:eastAsia="仿宋_GB2312"/>
          <w:b/>
          <w:sz w:val="32"/>
          <w:szCs w:val="32"/>
        </w:rPr>
        <w:t>项目</w:t>
      </w:r>
      <w:r>
        <w:rPr>
          <w:rFonts w:ascii="仿宋_GB2312" w:hAnsi="黑体" w:eastAsia="仿宋_GB2312"/>
          <w:b/>
          <w:sz w:val="32"/>
          <w:szCs w:val="32"/>
        </w:rPr>
        <w:t>1</w:t>
      </w:r>
    </w:p>
    <w:p>
      <w:pPr>
        <w:spacing w:line="560" w:lineRule="exact"/>
        <w:ind w:firstLine="640" w:firstLineChars="200"/>
        <w:rPr>
          <w:rFonts w:ascii="仿宋_GB2312" w:hAnsi="宋体" w:eastAsia="仿宋_GB2312" w:cs="宋体"/>
          <w:kern w:val="0"/>
          <w:sz w:val="32"/>
          <w:szCs w:val="32"/>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rPr>
        <w:t>社会救助及核对工作</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宋体" w:eastAsia="仿宋_GB2312" w:cs="宋体"/>
          <w:kern w:val="0"/>
          <w:sz w:val="32"/>
          <w:szCs w:val="32"/>
        </w:rPr>
        <w:t>《社会救助暂行办法》国务院令649号，《关于印发自治州建立农村最低生活保障制度，实施意见的通知》常州政办发（2007）166号。《关于印发自治州全面建立五保老人集中供养和孤儿集中收养制度实施方案的通知》常州政办发（2017）94号，《关于建立居民家庭经济状况核对机制的通知》新政办发（2014）85号</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rPr>
        <w:t>20万元</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昌吉回族自治州民政局</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kern w:val="0"/>
          <w:sz w:val="32"/>
          <w:szCs w:val="32"/>
        </w:rPr>
        <w:t>20万元</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2020年度</w:t>
      </w:r>
    </w:p>
    <w:p>
      <w:pPr>
        <w:spacing w:line="560" w:lineRule="exact"/>
        <w:ind w:firstLine="640" w:firstLineChars="200"/>
        <w:rPr>
          <w:rFonts w:ascii="仿宋_GB2312" w:hAnsi="宋体" w:eastAsia="仿宋_GB2312" w:cs="宋体"/>
          <w:kern w:val="0"/>
          <w:sz w:val="32"/>
          <w:szCs w:val="32"/>
        </w:rPr>
      </w:pPr>
    </w:p>
    <w:p>
      <w:pPr>
        <w:widowControl/>
        <w:spacing w:line="580" w:lineRule="exact"/>
        <w:ind w:firstLine="642"/>
        <w:jc w:val="left"/>
        <w:rPr>
          <w:rFonts w:ascii="仿宋_GB2312" w:hAnsi="黑体" w:eastAsia="仿宋_GB2312"/>
          <w:b/>
          <w:sz w:val="32"/>
          <w:szCs w:val="32"/>
        </w:rPr>
      </w:pPr>
      <w:r>
        <w:rPr>
          <w:rFonts w:hint="eastAsia" w:ascii="仿宋_GB2312" w:hAnsi="黑体" w:eastAsia="仿宋_GB2312"/>
          <w:b/>
          <w:sz w:val="32"/>
          <w:szCs w:val="32"/>
        </w:rPr>
        <w:t>项目2</w:t>
      </w:r>
    </w:p>
    <w:p>
      <w:pPr>
        <w:spacing w:line="560" w:lineRule="exact"/>
        <w:ind w:firstLine="640" w:firstLineChars="200"/>
        <w:rPr>
          <w:rFonts w:ascii="仿宋_GB2312" w:hAnsi="宋体" w:eastAsia="仿宋_GB2312" w:cs="宋体"/>
          <w:kern w:val="0"/>
          <w:sz w:val="32"/>
          <w:szCs w:val="32"/>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rPr>
        <w:t>社会组织管理工作经费</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宋体" w:eastAsia="仿宋_GB2312" w:cs="宋体"/>
          <w:kern w:val="0"/>
          <w:sz w:val="32"/>
          <w:szCs w:val="32"/>
        </w:rPr>
        <w:t>《社会团体登记管理条例》国务院第666号令，民办非企业单位登记管理暂行条例，国务院250号令，社会团体年检暂行办法</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rPr>
        <w:t>5万元</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昌吉回族自治州民政局</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kern w:val="0"/>
          <w:sz w:val="32"/>
          <w:szCs w:val="32"/>
        </w:rPr>
        <w:t>5万元</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2020年度</w:t>
      </w:r>
    </w:p>
    <w:p>
      <w:pPr>
        <w:spacing w:line="560" w:lineRule="exact"/>
        <w:ind w:firstLine="640" w:firstLineChars="200"/>
        <w:rPr>
          <w:rFonts w:ascii="仿宋_GB2312" w:hAnsi="宋体" w:eastAsia="仿宋_GB2312" w:cs="宋体"/>
          <w:kern w:val="0"/>
          <w:sz w:val="32"/>
          <w:szCs w:val="32"/>
        </w:rPr>
      </w:pPr>
    </w:p>
    <w:p>
      <w:pPr>
        <w:widowControl/>
        <w:spacing w:line="580" w:lineRule="exact"/>
        <w:ind w:firstLine="642"/>
        <w:jc w:val="left"/>
        <w:rPr>
          <w:rFonts w:ascii="仿宋_GB2312" w:hAnsi="黑体" w:eastAsia="仿宋_GB2312"/>
          <w:b/>
          <w:sz w:val="32"/>
          <w:szCs w:val="32"/>
        </w:rPr>
      </w:pPr>
      <w:r>
        <w:rPr>
          <w:rFonts w:hint="eastAsia" w:ascii="仿宋_GB2312" w:hAnsi="黑体" w:eastAsia="仿宋_GB2312"/>
          <w:b/>
          <w:sz w:val="32"/>
          <w:szCs w:val="32"/>
        </w:rPr>
        <w:t>项目3</w:t>
      </w:r>
    </w:p>
    <w:p>
      <w:pPr>
        <w:spacing w:line="560" w:lineRule="exact"/>
        <w:ind w:firstLine="640" w:firstLineChars="200"/>
        <w:rPr>
          <w:rFonts w:ascii="仿宋_GB2312" w:hAnsi="宋体" w:eastAsia="仿宋_GB2312" w:cs="宋体"/>
          <w:kern w:val="0"/>
          <w:sz w:val="32"/>
          <w:szCs w:val="32"/>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rPr>
        <w:t>社会组织综合党委工作</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宋体" w:eastAsia="仿宋_GB2312" w:cs="宋体"/>
          <w:kern w:val="0"/>
          <w:sz w:val="32"/>
          <w:szCs w:val="32"/>
        </w:rPr>
        <w:t>《中共昌吉回族自治州委员会办公室印发&lt;关于加强社会组织党的建设工作实施意见&gt;的通知》昌州（2017）54号</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rPr>
        <w:t>11万元</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昌吉回族自治州民政局</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kern w:val="0"/>
          <w:sz w:val="32"/>
          <w:szCs w:val="32"/>
        </w:rPr>
        <w:t>11万元</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2020年度</w:t>
      </w:r>
    </w:p>
    <w:p>
      <w:pPr>
        <w:spacing w:line="560" w:lineRule="exact"/>
        <w:ind w:firstLine="640" w:firstLineChars="200"/>
        <w:rPr>
          <w:rFonts w:ascii="仿宋_GB2312" w:hAnsi="宋体" w:eastAsia="仿宋_GB2312" w:cs="宋体"/>
          <w:kern w:val="0"/>
          <w:sz w:val="32"/>
          <w:szCs w:val="32"/>
        </w:rPr>
      </w:pPr>
    </w:p>
    <w:p>
      <w:pPr>
        <w:widowControl/>
        <w:spacing w:line="580" w:lineRule="exact"/>
        <w:ind w:firstLine="642"/>
        <w:jc w:val="left"/>
        <w:rPr>
          <w:rFonts w:ascii="仿宋_GB2312" w:hAnsi="黑体" w:eastAsia="仿宋_GB2312"/>
          <w:b/>
          <w:sz w:val="32"/>
          <w:szCs w:val="32"/>
        </w:rPr>
      </w:pPr>
      <w:r>
        <w:rPr>
          <w:rFonts w:hint="eastAsia" w:ascii="仿宋_GB2312" w:hAnsi="黑体" w:eastAsia="仿宋_GB2312"/>
          <w:b/>
          <w:sz w:val="32"/>
          <w:szCs w:val="32"/>
        </w:rPr>
        <w:t>项目4</w:t>
      </w:r>
    </w:p>
    <w:p>
      <w:pPr>
        <w:spacing w:line="560" w:lineRule="exact"/>
        <w:ind w:firstLine="640" w:firstLineChars="200"/>
        <w:rPr>
          <w:rFonts w:ascii="仿宋_GB2312" w:hAnsi="宋体" w:eastAsia="仿宋_GB2312" w:cs="宋体"/>
          <w:kern w:val="0"/>
          <w:sz w:val="32"/>
          <w:szCs w:val="32"/>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：地名与区划管理</w:t>
      </w:r>
    </w:p>
    <w:p>
      <w:pPr>
        <w:widowControl/>
        <w:spacing w:line="580" w:lineRule="exact"/>
        <w:ind w:firstLine="640"/>
        <w:jc w:val="left"/>
        <w:rPr>
          <w:rFonts w:hint="eastAsia" w:ascii="仿宋_GB2312" w:hAnsi="宋体" w:eastAsia="仿宋_GB2312" w:cs="宋体"/>
          <w:kern w:val="0"/>
          <w:sz w:val="32"/>
          <w:szCs w:val="32"/>
          <w:highlight w:val="none"/>
          <w:lang w:eastAsia="zh-CN"/>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宋体" w:eastAsia="仿宋_GB2312" w:cs="宋体"/>
          <w:kern w:val="0"/>
          <w:sz w:val="32"/>
          <w:szCs w:val="32"/>
          <w:highlight w:val="none"/>
        </w:rPr>
        <w:t>国务院《行政区划管理条例》2018第704号</w:t>
      </w:r>
      <w:r>
        <w:rPr>
          <w:rFonts w:hint="eastAsia" w:ascii="仿宋_GB2312" w:hAnsi="宋体" w:eastAsia="仿宋_GB2312" w:cs="宋体"/>
          <w:kern w:val="0"/>
          <w:sz w:val="32"/>
          <w:szCs w:val="32"/>
          <w:highlight w:val="none"/>
          <w:lang w:eastAsia="zh-CN"/>
        </w:rPr>
        <w:t>国务院令</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rPr>
        <w:t>15万元</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昌吉回族自治州民政局</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kern w:val="0"/>
          <w:sz w:val="32"/>
          <w:szCs w:val="32"/>
        </w:rPr>
        <w:t>15万元</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2020年度</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八、关于昌吉回族自治州民政局2020年一般公共预算“三公”经费预算情况说明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昌吉回族自治州民政局2020年“三公”经费财政拨款预算数为6.1万元，其中：因公出国（境）费0万元，公务用车购置0万元，公务用车运行费6.1万元，公务接待费    0万元。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2020年“三公”经费财政拨款预算比上年减少0.05万元，其中：因公出国（境）费减少0万元，主要原因是本单位无因公出国（境）的工作；公务用车购置费为0</w:t>
      </w:r>
      <w:r>
        <w:rPr>
          <w:rFonts w:hint="eastAsia" w:ascii="仿宋_GB2312" w:hAnsi="宋体" w:eastAsia="仿宋_GB2312" w:cs="宋体"/>
          <w:kern w:val="0"/>
          <w:sz w:val="32"/>
          <w:szCs w:val="32"/>
          <w:lang w:eastAsia="zh-CN"/>
        </w:rPr>
        <w:t>万元</w:t>
      </w:r>
      <w:r>
        <w:rPr>
          <w:rFonts w:hint="eastAsia" w:ascii="仿宋_GB2312" w:hAnsi="宋体" w:eastAsia="仿宋_GB2312" w:cs="宋体"/>
          <w:kern w:val="0"/>
          <w:sz w:val="32"/>
          <w:szCs w:val="32"/>
        </w:rPr>
        <w:t>，未安排预算；公务用车运行费减少0.05万元，主要原因是降低成本，压缩公务用车支出；公务接待费减少0万元，主要原因是无公务接待费用。</w:t>
      </w:r>
    </w:p>
    <w:p>
      <w:pPr>
        <w:pStyle w:val="2"/>
      </w:pP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九、关于昌吉回族自治州民政局部门2020年政府性基金预算拨款情况说明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昌吉回族自治州民政局2020年没有使用政府性基金预算拨款安排的支出，政府性基金预算支出情况表为空表。</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2020年昌吉回族自治州民政局本级机关运行经费财政拨款预算39.48万元，比上年预算减少16.89万元，下降29.96%。主要原因是降低公用经费支出。</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2020年，昌吉回族自治州民政局政府采购预算33.28万元，其中：政府采购货物预算24.68万元，政府采购工程预算0万元，政府采购服务预算8.6万元。</w:t>
      </w:r>
    </w:p>
    <w:p>
      <w:pPr>
        <w:spacing w:line="560" w:lineRule="exact"/>
        <w:ind w:firstLine="640" w:firstLineChars="200"/>
        <w:rPr>
          <w:rFonts w:ascii="仿宋_GB2312" w:hAnsi="宋体" w:eastAsia="仿宋_GB2312" w:cs="宋体"/>
          <w:kern w:val="0"/>
          <w:sz w:val="32"/>
          <w:szCs w:val="32"/>
        </w:rPr>
      </w:pPr>
      <w:r>
        <w:rPr>
          <w:rFonts w:hint="eastAsia" w:ascii="仿宋_GB2312" w:hAnsi="仿宋_GB2312" w:eastAsia="仿宋_GB2312"/>
          <w:sz w:val="32"/>
        </w:rPr>
        <w:t>2020年度本部门面向中小企业预留政府采购项目预算金额0万元，其中：面向小微企业预留政府采购项目预算金额0万元。</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截至2019年底昌吉回族自治州民政局占用使用国有资产总体情况为</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1.房屋</w:t>
      </w:r>
      <w:r>
        <w:rPr>
          <w:rFonts w:hint="eastAsia" w:ascii="仿宋_GB2312" w:hAnsi="宋体" w:eastAsia="仿宋_GB2312" w:cs="宋体"/>
          <w:kern w:val="0"/>
          <w:sz w:val="32"/>
          <w:szCs w:val="32"/>
          <w:highlight w:val="none"/>
          <w:lang w:val="en-US" w:eastAsia="zh-CN"/>
        </w:rPr>
        <w:t>5619.44</w:t>
      </w:r>
      <w:r>
        <w:rPr>
          <w:rFonts w:hint="eastAsia" w:ascii="仿宋_GB2312" w:hAnsi="宋体" w:eastAsia="仿宋_GB2312" w:cs="宋体"/>
          <w:kern w:val="0"/>
          <w:sz w:val="32"/>
          <w:szCs w:val="32"/>
        </w:rPr>
        <w:t>平方米，价值310.23万元。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2.车辆3辆，价值112.44万元；其中：一般公务用车3辆，价值112.44万元；执法执勤用车0辆，价值0万元；其他车辆0辆，价值0万元。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3.办公家具价值20.94万元。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4.其他资产价值76.66万元。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单位价值50万元以上大型设备0台（套），单位价值100万元以上大型设备0台（套）。</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2020年部门预算未安排购置车辆经费，安排购置50万元以上大型设备0台（套），单位价值100万元以上大型设备0台（套）。</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2020年度，本年度实行绩效管理的项目4个，涉及预算金额51万元。具体情况见下表（按项目分别填报）：</w:t>
      </w:r>
    </w:p>
    <w:p>
      <w:pPr>
        <w:widowControl/>
        <w:spacing w:line="600" w:lineRule="exact"/>
        <w:rPr>
          <w:rFonts w:ascii="仿宋_GB2312" w:hAnsi="宋体" w:eastAsia="仿宋_GB2312" w:cs="宋体"/>
          <w:kern w:val="0"/>
          <w:sz w:val="32"/>
          <w:szCs w:val="32"/>
        </w:rPr>
        <w:sectPr>
          <w:footerReference r:id="rId3" w:type="default"/>
          <w:pgSz w:w="11906" w:h="16838"/>
          <w:pgMar w:top="1440" w:right="1800" w:bottom="1440" w:left="1800" w:header="851" w:footer="992" w:gutter="0"/>
          <w:pgNumType w:fmt="numberInDash" w:start="24"/>
          <w:cols w:space="425" w:num="1"/>
          <w:docGrid w:type="lines" w:linePitch="312" w:charSpace="0"/>
        </w:sectPr>
      </w:pPr>
    </w:p>
    <w:tbl>
      <w:tblPr>
        <w:tblStyle w:val="8"/>
        <w:tblW w:w="13973" w:type="dxa"/>
        <w:tblInd w:w="93" w:type="dxa"/>
        <w:tblLayout w:type="fixed"/>
        <w:tblCellMar>
          <w:top w:w="0" w:type="dxa"/>
          <w:left w:w="108" w:type="dxa"/>
          <w:bottom w:w="0" w:type="dxa"/>
          <w:right w:w="108" w:type="dxa"/>
        </w:tblCellMar>
      </w:tblPr>
      <w:tblGrid>
        <w:gridCol w:w="2195"/>
        <w:gridCol w:w="1857"/>
        <w:gridCol w:w="1664"/>
        <w:gridCol w:w="500"/>
        <w:gridCol w:w="1164"/>
        <w:gridCol w:w="323"/>
        <w:gridCol w:w="323"/>
        <w:gridCol w:w="1925"/>
        <w:gridCol w:w="249"/>
        <w:gridCol w:w="1132"/>
        <w:gridCol w:w="2143"/>
        <w:gridCol w:w="249"/>
        <w:gridCol w:w="249"/>
      </w:tblGrid>
      <w:tr>
        <w:tblPrEx>
          <w:tblCellMar>
            <w:top w:w="0" w:type="dxa"/>
            <w:left w:w="108" w:type="dxa"/>
            <w:bottom w:w="0" w:type="dxa"/>
            <w:right w:w="108" w:type="dxa"/>
          </w:tblCellMar>
        </w:tblPrEx>
        <w:trPr>
          <w:trHeight w:val="406" w:hRule="atLeast"/>
        </w:trPr>
        <w:tc>
          <w:tcPr>
            <w:tcW w:w="13973" w:type="dxa"/>
            <w:gridSpan w:val="13"/>
            <w:tcBorders>
              <w:top w:val="nil"/>
              <w:left w:val="nil"/>
              <w:bottom w:val="nil"/>
              <w:right w:val="nil"/>
            </w:tcBorders>
            <w:shd w:val="clear" w:color="auto" w:fill="auto"/>
            <w:noWrap/>
            <w:vAlign w:val="bottom"/>
          </w:tcPr>
          <w:p>
            <w:pPr>
              <w:widowControl/>
              <w:jc w:val="center"/>
              <w:outlineLvl w:val="1"/>
              <w:rPr>
                <w:rFonts w:ascii="宋体" w:hAnsi="宋体" w:cs="宋体"/>
                <w:b/>
                <w:bCs/>
                <w:kern w:val="0"/>
                <w:sz w:val="32"/>
                <w:szCs w:val="32"/>
              </w:rPr>
            </w:pPr>
            <w:r>
              <w:rPr>
                <w:rFonts w:hint="eastAsia" w:ascii="仿宋_GB2312" w:hAnsi="宋体" w:eastAsia="仿宋_GB2312"/>
                <w:b/>
                <w:kern w:val="0"/>
                <w:sz w:val="32"/>
                <w:szCs w:val="32"/>
              </w:rPr>
              <w:t>项  目  支  出  绩  效  目  标  表</w:t>
            </w:r>
          </w:p>
        </w:tc>
      </w:tr>
      <w:tr>
        <w:tblPrEx>
          <w:tblCellMar>
            <w:top w:w="0" w:type="dxa"/>
            <w:left w:w="108" w:type="dxa"/>
            <w:bottom w:w="0" w:type="dxa"/>
            <w:right w:w="108" w:type="dxa"/>
          </w:tblCellMar>
        </w:tblPrEx>
        <w:trPr>
          <w:trHeight w:val="271" w:hRule="atLeast"/>
        </w:trPr>
        <w:tc>
          <w:tcPr>
            <w:tcW w:w="2195"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857"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664"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664" w:type="dxa"/>
            <w:gridSpan w:val="2"/>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925"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3275" w:type="dxa"/>
            <w:gridSpan w:val="2"/>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r>
      <w:tr>
        <w:tblPrEx>
          <w:tblCellMar>
            <w:top w:w="0" w:type="dxa"/>
            <w:left w:w="108" w:type="dxa"/>
            <w:bottom w:w="0" w:type="dxa"/>
            <w:right w:w="108" w:type="dxa"/>
          </w:tblCellMar>
        </w:tblPrEx>
        <w:trPr>
          <w:trHeight w:val="271" w:hRule="atLeast"/>
        </w:trPr>
        <w:tc>
          <w:tcPr>
            <w:tcW w:w="219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831" w:type="dxa"/>
            <w:gridSpan w:val="6"/>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昌吉回族自治州民政局</w:t>
            </w:r>
          </w:p>
        </w:tc>
        <w:tc>
          <w:tcPr>
            <w:tcW w:w="192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22" w:type="dxa"/>
            <w:gridSpan w:val="5"/>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社会救助及核对工作</w:t>
            </w:r>
          </w:p>
        </w:tc>
      </w:tr>
      <w:tr>
        <w:tblPrEx>
          <w:tblCellMar>
            <w:top w:w="0" w:type="dxa"/>
            <w:left w:w="108" w:type="dxa"/>
            <w:bottom w:w="0" w:type="dxa"/>
            <w:right w:w="108" w:type="dxa"/>
          </w:tblCellMar>
        </w:tblPrEx>
        <w:trPr>
          <w:trHeight w:val="451" w:hRule="atLeast"/>
        </w:trPr>
        <w:tc>
          <w:tcPr>
            <w:tcW w:w="219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164"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20　</w:t>
            </w:r>
          </w:p>
        </w:tc>
        <w:tc>
          <w:tcPr>
            <w:tcW w:w="1810"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9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20　</w:t>
            </w:r>
          </w:p>
        </w:tc>
        <w:tc>
          <w:tcPr>
            <w:tcW w:w="1381"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41"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r>
      <w:tr>
        <w:tblPrEx>
          <w:tblCellMar>
            <w:top w:w="0" w:type="dxa"/>
            <w:left w:w="108" w:type="dxa"/>
            <w:bottom w:w="0" w:type="dxa"/>
            <w:right w:w="108" w:type="dxa"/>
          </w:tblCellMar>
        </w:tblPrEx>
        <w:trPr>
          <w:trHeight w:val="40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778" w:type="dxa"/>
            <w:gridSpan w:val="12"/>
            <w:tcBorders>
              <w:top w:val="nil"/>
              <w:left w:val="nil"/>
              <w:bottom w:val="single" w:color="000000" w:sz="4" w:space="0"/>
              <w:right w:val="single" w:color="000000" w:sz="4" w:space="0"/>
            </w:tcBorders>
            <w:shd w:val="clear" w:color="auto" w:fill="auto"/>
          </w:tcPr>
          <w:p>
            <w:pPr>
              <w:widowControl/>
              <w:jc w:val="left"/>
              <w:rPr>
                <w:rFonts w:ascii="宋体" w:hAnsi="宋体" w:cs="宋体"/>
                <w:kern w:val="0"/>
                <w:sz w:val="18"/>
                <w:szCs w:val="18"/>
              </w:rPr>
            </w:pPr>
            <w:r>
              <w:rPr>
                <w:rFonts w:hint="eastAsia" w:ascii="宋体" w:hAnsi="宋体" w:cs="宋体"/>
                <w:kern w:val="0"/>
                <w:sz w:val="18"/>
                <w:szCs w:val="18"/>
              </w:rPr>
              <w:t>职能：拟订全州社会救助规划、政策措施和标准，健全城乡社会救助体系；指导县市城乡居民最低生活保障、临时救助和特困人员救助供养工作；指导低收入家庭经济状况核对工作；监督、指导县市兜底脱贫工作；拟定儿童福利、儿童收养、儿童保护和生活无着流浪、乞讨人员政策措施，指导儿童福利、儿童收养、儿童保护和生活无着流浪、乞讨人员救助管理；指导县市儿童福利机构、救助管理机构管理等。</w:t>
            </w:r>
          </w:p>
          <w:p>
            <w:pPr>
              <w:widowControl/>
              <w:jc w:val="left"/>
              <w:rPr>
                <w:rFonts w:ascii="宋体" w:hAnsi="宋体" w:cs="宋体"/>
                <w:kern w:val="0"/>
                <w:sz w:val="18"/>
                <w:szCs w:val="18"/>
              </w:rPr>
            </w:pPr>
            <w:r>
              <w:rPr>
                <w:rFonts w:hint="eastAsia" w:ascii="宋体" w:hAnsi="宋体" w:cs="宋体"/>
                <w:kern w:val="0"/>
                <w:sz w:val="18"/>
                <w:szCs w:val="18"/>
              </w:rPr>
              <w:t xml:space="preserve">目标：1.严格按照“应扶尽扶、应保尽保、动态管理”基本原则，将完全丧失劳动能力和部分丧失劳动能力且无法依靠产业、就业等方式帮扶脱贫的建档立卡困难家庭，依规纳入农村低保范围，实行“兜底保障”规纳入农村低保范围，实行“兜底保障”，累计救助农村低保5万人以上，城市低保2万人以上。                                                                                                                2.符合扶贫建档立卡对象纳入低保人数1000人以上。                                                                                 3.稳步提高低保标准，提标至456元/人/月以上。                                                                                     4.深入推进低保专项治理，清退不符合条件的低保人员，提升群众满意度。                                                                5.推进核对机制建设，指导县市出具核对报告5000份以上。                                                                     </w:t>
            </w:r>
          </w:p>
        </w:tc>
      </w:tr>
      <w:tr>
        <w:tblPrEx>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857"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tblPrEx>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rPr>
                <w:rFonts w:ascii="宋体" w:hAnsi="宋体" w:cs="宋体"/>
                <w:kern w:val="0"/>
                <w:sz w:val="18"/>
                <w:szCs w:val="18"/>
              </w:rPr>
            </w:pPr>
            <w:r>
              <w:rPr>
                <w:rFonts w:hint="eastAsia" w:ascii="宋体" w:hAnsi="宋体" w:cs="宋体"/>
                <w:kern w:val="0"/>
                <w:sz w:val="18"/>
                <w:szCs w:val="18"/>
              </w:rPr>
              <w:t>城乡低保标准（元/人/月）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456　</w:t>
            </w:r>
          </w:p>
        </w:tc>
      </w:tr>
      <w:tr>
        <w:tblPrEx>
          <w:tblCellMar>
            <w:top w:w="0" w:type="dxa"/>
            <w:left w:w="108" w:type="dxa"/>
            <w:bottom w:w="0" w:type="dxa"/>
            <w:right w:w="108" w:type="dxa"/>
          </w:tblCellMar>
        </w:tblPrEx>
        <w:trPr>
          <w:trHeight w:val="271" w:hRule="atLeast"/>
        </w:trPr>
        <w:tc>
          <w:tcPr>
            <w:tcW w:w="2195" w:type="dxa"/>
            <w:vMerge w:val="continue"/>
            <w:tcBorders>
              <w:left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c>
          <w:tcPr>
            <w:tcW w:w="1857" w:type="dxa"/>
            <w:vMerge w:val="continue"/>
            <w:tcBorders>
              <w:left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rPr>
                <w:rFonts w:ascii="宋体" w:hAnsi="宋体" w:cs="宋体"/>
                <w:kern w:val="0"/>
                <w:sz w:val="18"/>
                <w:szCs w:val="18"/>
              </w:rPr>
            </w:pPr>
            <w:r>
              <w:rPr>
                <w:rFonts w:hint="eastAsia" w:ascii="宋体" w:hAnsi="宋体" w:cs="宋体"/>
                <w:kern w:val="0"/>
                <w:sz w:val="18"/>
                <w:szCs w:val="18"/>
              </w:rPr>
              <w:t>社会救助工作经费（万元）</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10</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rPr>
                <w:rFonts w:ascii="宋体" w:hAnsi="宋体" w:cs="宋体"/>
                <w:kern w:val="0"/>
                <w:sz w:val="18"/>
                <w:szCs w:val="18"/>
              </w:rPr>
            </w:pPr>
            <w:r>
              <w:rPr>
                <w:rFonts w:hint="eastAsia" w:ascii="宋体" w:hAnsi="宋体" w:cs="宋体"/>
                <w:kern w:val="0"/>
                <w:sz w:val="18"/>
                <w:szCs w:val="18"/>
              </w:rPr>
              <w:t>核对工作经费（万元）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10　</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指导县市核对报告完成率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100%　</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救助完成及时率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ind w:firstLine="1440" w:firstLineChars="800"/>
              <w:rPr>
                <w:rFonts w:ascii="宋体" w:hAnsi="宋体" w:cs="宋体"/>
                <w:kern w:val="0"/>
                <w:sz w:val="18"/>
                <w:szCs w:val="18"/>
              </w:rPr>
            </w:pPr>
            <w:r>
              <w:rPr>
                <w:rFonts w:hint="eastAsia" w:ascii="宋体" w:hAnsi="宋体" w:cs="宋体"/>
                <w:kern w:val="0"/>
                <w:sz w:val="18"/>
                <w:szCs w:val="18"/>
              </w:rPr>
              <w:t>　100%</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农村最低生活保障累计人数（万人次）</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6　</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城市最低生活保障累计人数（万人次）</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2</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指导县市出具核对报告（万份）</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≥0.5　　</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扶贫建档立卡对象纳入低保人数（人）</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≥1000</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r>
      <w:tr>
        <w:tblPrEx>
          <w:tblCellMar>
            <w:top w:w="0" w:type="dxa"/>
            <w:left w:w="108" w:type="dxa"/>
            <w:bottom w:w="0" w:type="dxa"/>
            <w:right w:w="108" w:type="dxa"/>
          </w:tblCellMar>
        </w:tblPrEx>
        <w:trPr>
          <w:trHeight w:val="283"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项目效益指标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经济效益指标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城乡低保生活稳步提升群众知晓率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90%　</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核对报告的精准度</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≥90%　　</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低保补助水平满足低保对象基本生活需要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逐步提升　</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社会救助认定的精准性</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逐步提升　</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生态效益指标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低保对象满意度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≥80%　　</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核对委托对象的满意度</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≥80%　　</w:t>
            </w:r>
          </w:p>
        </w:tc>
      </w:tr>
    </w:tbl>
    <w:p>
      <w:pPr>
        <w:widowControl/>
        <w:spacing w:line="560" w:lineRule="exact"/>
        <w:jc w:val="left"/>
        <w:rPr>
          <w:rFonts w:ascii="楷体_GB2312" w:hAnsi="宋体" w:eastAsia="楷体_GB2312" w:cs="宋体"/>
          <w:b/>
          <w:kern w:val="0"/>
          <w:sz w:val="32"/>
          <w:szCs w:val="32"/>
        </w:rPr>
      </w:pPr>
    </w:p>
    <w:p>
      <w:pPr>
        <w:widowControl/>
        <w:spacing w:line="560" w:lineRule="exact"/>
        <w:jc w:val="left"/>
        <w:rPr>
          <w:rFonts w:ascii="楷体_GB2312" w:hAnsi="宋体" w:eastAsia="楷体_GB2312" w:cs="宋体"/>
          <w:b/>
          <w:kern w:val="0"/>
          <w:sz w:val="32"/>
          <w:szCs w:val="32"/>
        </w:rPr>
      </w:pPr>
    </w:p>
    <w:tbl>
      <w:tblPr>
        <w:tblStyle w:val="8"/>
        <w:tblW w:w="13973" w:type="dxa"/>
        <w:tblInd w:w="93" w:type="dxa"/>
        <w:tblLayout w:type="fixed"/>
        <w:tblCellMar>
          <w:top w:w="0" w:type="dxa"/>
          <w:left w:w="108" w:type="dxa"/>
          <w:bottom w:w="0" w:type="dxa"/>
          <w:right w:w="108" w:type="dxa"/>
        </w:tblCellMar>
      </w:tblPr>
      <w:tblGrid>
        <w:gridCol w:w="2195"/>
        <w:gridCol w:w="1857"/>
        <w:gridCol w:w="1664"/>
        <w:gridCol w:w="500"/>
        <w:gridCol w:w="1164"/>
        <w:gridCol w:w="323"/>
        <w:gridCol w:w="323"/>
        <w:gridCol w:w="1925"/>
        <w:gridCol w:w="249"/>
        <w:gridCol w:w="1132"/>
        <w:gridCol w:w="2143"/>
        <w:gridCol w:w="249"/>
        <w:gridCol w:w="249"/>
      </w:tblGrid>
      <w:tr>
        <w:tblPrEx>
          <w:tblCellMar>
            <w:top w:w="0" w:type="dxa"/>
            <w:left w:w="108" w:type="dxa"/>
            <w:bottom w:w="0" w:type="dxa"/>
            <w:right w:w="108" w:type="dxa"/>
          </w:tblCellMar>
        </w:tblPrEx>
        <w:trPr>
          <w:trHeight w:val="406" w:hRule="atLeast"/>
        </w:trPr>
        <w:tc>
          <w:tcPr>
            <w:tcW w:w="13973" w:type="dxa"/>
            <w:gridSpan w:val="13"/>
            <w:tcBorders>
              <w:top w:val="nil"/>
              <w:left w:val="nil"/>
              <w:bottom w:val="nil"/>
              <w:right w:val="nil"/>
            </w:tcBorders>
            <w:shd w:val="clear" w:color="auto" w:fill="auto"/>
            <w:noWrap/>
            <w:vAlign w:val="bottom"/>
          </w:tcPr>
          <w:p>
            <w:pPr>
              <w:widowControl/>
              <w:jc w:val="center"/>
              <w:outlineLvl w:val="1"/>
              <w:rPr>
                <w:rFonts w:ascii="宋体" w:hAnsi="宋体" w:cs="宋体"/>
                <w:b/>
                <w:bCs/>
                <w:kern w:val="0"/>
                <w:sz w:val="32"/>
                <w:szCs w:val="32"/>
              </w:rPr>
            </w:pPr>
            <w:r>
              <w:rPr>
                <w:rFonts w:hint="eastAsia" w:ascii="仿宋_GB2312" w:hAnsi="宋体" w:eastAsia="仿宋_GB2312"/>
                <w:b/>
                <w:kern w:val="0"/>
                <w:sz w:val="32"/>
                <w:szCs w:val="32"/>
              </w:rPr>
              <w:t>项  目  支  出  绩  效  目  标  表</w:t>
            </w:r>
          </w:p>
        </w:tc>
      </w:tr>
      <w:tr>
        <w:tblPrEx>
          <w:tblCellMar>
            <w:top w:w="0" w:type="dxa"/>
            <w:left w:w="108" w:type="dxa"/>
            <w:bottom w:w="0" w:type="dxa"/>
            <w:right w:w="108" w:type="dxa"/>
          </w:tblCellMar>
        </w:tblPrEx>
        <w:trPr>
          <w:trHeight w:val="271" w:hRule="atLeast"/>
        </w:trPr>
        <w:tc>
          <w:tcPr>
            <w:tcW w:w="2195"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857"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664"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664" w:type="dxa"/>
            <w:gridSpan w:val="2"/>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925"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3275" w:type="dxa"/>
            <w:gridSpan w:val="2"/>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r>
      <w:tr>
        <w:tblPrEx>
          <w:tblCellMar>
            <w:top w:w="0" w:type="dxa"/>
            <w:left w:w="108" w:type="dxa"/>
            <w:bottom w:w="0" w:type="dxa"/>
            <w:right w:w="108" w:type="dxa"/>
          </w:tblCellMar>
        </w:tblPrEx>
        <w:trPr>
          <w:trHeight w:val="271" w:hRule="atLeast"/>
        </w:trPr>
        <w:tc>
          <w:tcPr>
            <w:tcW w:w="219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831" w:type="dxa"/>
            <w:gridSpan w:val="6"/>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昌吉回族自治州民政局</w:t>
            </w:r>
          </w:p>
        </w:tc>
        <w:tc>
          <w:tcPr>
            <w:tcW w:w="192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22" w:type="dxa"/>
            <w:gridSpan w:val="5"/>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社会组织管理工作经费</w:t>
            </w:r>
          </w:p>
        </w:tc>
      </w:tr>
      <w:tr>
        <w:tblPrEx>
          <w:tblCellMar>
            <w:top w:w="0" w:type="dxa"/>
            <w:left w:w="108" w:type="dxa"/>
            <w:bottom w:w="0" w:type="dxa"/>
            <w:right w:w="108" w:type="dxa"/>
          </w:tblCellMar>
        </w:tblPrEx>
        <w:trPr>
          <w:trHeight w:val="451" w:hRule="atLeast"/>
        </w:trPr>
        <w:tc>
          <w:tcPr>
            <w:tcW w:w="219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164"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5</w:t>
            </w:r>
          </w:p>
        </w:tc>
        <w:tc>
          <w:tcPr>
            <w:tcW w:w="1810"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9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5　</w:t>
            </w:r>
          </w:p>
        </w:tc>
        <w:tc>
          <w:tcPr>
            <w:tcW w:w="1381"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41"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r>
      <w:tr>
        <w:tblPrEx>
          <w:tblCellMar>
            <w:top w:w="0" w:type="dxa"/>
            <w:left w:w="108" w:type="dxa"/>
            <w:bottom w:w="0" w:type="dxa"/>
            <w:right w:w="108" w:type="dxa"/>
          </w:tblCellMar>
        </w:tblPrEx>
        <w:trPr>
          <w:trHeight w:val="40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778" w:type="dxa"/>
            <w:gridSpan w:val="12"/>
            <w:tcBorders>
              <w:top w:val="nil"/>
              <w:left w:val="nil"/>
              <w:bottom w:val="single" w:color="000000" w:sz="4" w:space="0"/>
              <w:right w:val="single" w:color="000000" w:sz="4" w:space="0"/>
            </w:tcBorders>
            <w:shd w:val="clear" w:color="auto" w:fill="auto"/>
          </w:tcPr>
          <w:p>
            <w:pPr>
              <w:widowControl/>
              <w:jc w:val="left"/>
              <w:rPr>
                <w:rFonts w:ascii="宋体" w:hAnsi="宋体" w:cs="宋体"/>
                <w:kern w:val="0"/>
                <w:sz w:val="18"/>
                <w:szCs w:val="18"/>
              </w:rPr>
            </w:pPr>
            <w:r>
              <w:rPr>
                <w:rFonts w:hint="eastAsia" w:ascii="宋体" w:hAnsi="宋体" w:cs="宋体"/>
                <w:kern w:val="0"/>
                <w:sz w:val="18"/>
                <w:szCs w:val="18"/>
              </w:rPr>
              <w:t>职能：社会组织管理和社会工作科（行政审批科）拟订社会团体、社会服务机构、基金会登记管理的法规、政策草案，指导县市对社会团体、社会服务机构的登记管理和行政执法监督，并按照管辖权限依法对社会团体、社会服务机构、基金会进行登记管理和行政执法监督。负责权限内的行政审批工作。拟订社会工作发展规划、政策措施和标准，指导社会工作专业人才和志愿者队伍建设。                                                                                                       目标任务：</w:t>
            </w:r>
          </w:p>
          <w:p>
            <w:pPr>
              <w:widowControl/>
              <w:jc w:val="left"/>
              <w:rPr>
                <w:rFonts w:ascii="宋体" w:hAnsi="宋体" w:cs="宋体"/>
                <w:kern w:val="0"/>
                <w:sz w:val="18"/>
                <w:szCs w:val="18"/>
              </w:rPr>
            </w:pPr>
            <w:r>
              <w:rPr>
                <w:rFonts w:hint="eastAsia" w:ascii="宋体" w:hAnsi="宋体" w:cs="宋体"/>
                <w:kern w:val="0"/>
                <w:sz w:val="18"/>
                <w:szCs w:val="18"/>
              </w:rPr>
              <w:t>1.依法对州本级申请登记、变更登记、注销登记事项的社会组织进行相关事项办理；</w:t>
            </w:r>
          </w:p>
          <w:p>
            <w:pPr>
              <w:widowControl/>
              <w:jc w:val="left"/>
              <w:rPr>
                <w:rFonts w:ascii="宋体" w:hAnsi="宋体" w:cs="宋体"/>
                <w:kern w:val="0"/>
                <w:sz w:val="18"/>
                <w:szCs w:val="18"/>
              </w:rPr>
            </w:pPr>
            <w:r>
              <w:rPr>
                <w:rFonts w:hint="eastAsia" w:ascii="宋体" w:hAnsi="宋体" w:cs="宋体"/>
                <w:kern w:val="0"/>
                <w:sz w:val="18"/>
                <w:szCs w:val="18"/>
              </w:rPr>
              <w:t>2.对州本级社会组织进行年检；</w:t>
            </w:r>
          </w:p>
          <w:p>
            <w:pPr>
              <w:widowControl/>
              <w:jc w:val="left"/>
              <w:rPr>
                <w:rFonts w:ascii="宋体" w:hAnsi="宋体" w:cs="宋体"/>
                <w:kern w:val="0"/>
                <w:sz w:val="18"/>
                <w:szCs w:val="18"/>
              </w:rPr>
            </w:pPr>
            <w:r>
              <w:rPr>
                <w:rFonts w:hint="eastAsia" w:ascii="宋体" w:hAnsi="宋体" w:cs="宋体"/>
                <w:kern w:val="0"/>
                <w:sz w:val="18"/>
                <w:szCs w:val="18"/>
              </w:rPr>
              <w:t>3.对州本级社会组织进行督导检查；</w:t>
            </w:r>
          </w:p>
          <w:p>
            <w:pPr>
              <w:widowControl/>
              <w:jc w:val="left"/>
              <w:rPr>
                <w:rFonts w:ascii="宋体" w:hAnsi="宋体" w:cs="宋体"/>
                <w:kern w:val="0"/>
                <w:sz w:val="18"/>
                <w:szCs w:val="18"/>
              </w:rPr>
            </w:pPr>
            <w:r>
              <w:rPr>
                <w:rFonts w:hint="eastAsia" w:ascii="宋体" w:hAnsi="宋体" w:cs="宋体"/>
                <w:kern w:val="0"/>
                <w:sz w:val="18"/>
                <w:szCs w:val="18"/>
              </w:rPr>
              <w:t>4.指导社会组织规范化建设；</w:t>
            </w:r>
          </w:p>
          <w:p>
            <w:pPr>
              <w:widowControl/>
              <w:jc w:val="left"/>
              <w:rPr>
                <w:rFonts w:ascii="宋体" w:hAnsi="宋体" w:cs="宋体"/>
                <w:kern w:val="0"/>
                <w:sz w:val="18"/>
                <w:szCs w:val="18"/>
              </w:rPr>
            </w:pPr>
            <w:r>
              <w:rPr>
                <w:rFonts w:hint="eastAsia" w:ascii="宋体" w:hAnsi="宋体" w:cs="宋体"/>
                <w:kern w:val="0"/>
                <w:sz w:val="18"/>
                <w:szCs w:val="18"/>
              </w:rPr>
              <w:t xml:space="preserve">5.对各县市社会组织登记管理工作人员进行指导培训。预计所需经费5万元。                                                                4.深入推进低保专项治理，清退不符合条件的低保人员，提升群众满意度。                                                                5.推进核对机制建设，指导县市出具核对报告5000份以上。                                                                     </w:t>
            </w:r>
          </w:p>
        </w:tc>
      </w:tr>
      <w:tr>
        <w:tblPrEx>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857"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tblPrEx>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rPr>
                <w:rFonts w:ascii="宋体" w:hAnsi="宋体" w:cs="宋体"/>
                <w:kern w:val="0"/>
                <w:sz w:val="18"/>
                <w:szCs w:val="18"/>
              </w:rPr>
            </w:pPr>
            <w:r>
              <w:rPr>
                <w:rFonts w:hint="eastAsia" w:ascii="宋体" w:hAnsi="宋体" w:cs="宋体"/>
                <w:kern w:val="0"/>
                <w:sz w:val="18"/>
                <w:szCs w:val="18"/>
              </w:rPr>
              <w:t>社会组织登记管理经费（万元）</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5</w:t>
            </w:r>
          </w:p>
        </w:tc>
      </w:tr>
      <w:tr>
        <w:tblPrEx>
          <w:tblCellMar>
            <w:top w:w="0" w:type="dxa"/>
            <w:left w:w="108" w:type="dxa"/>
            <w:bottom w:w="0" w:type="dxa"/>
            <w:right w:w="108" w:type="dxa"/>
          </w:tblCellMar>
        </w:tblPrEx>
        <w:trPr>
          <w:trHeight w:val="271" w:hRule="atLeast"/>
        </w:trPr>
        <w:tc>
          <w:tcPr>
            <w:tcW w:w="2195" w:type="dxa"/>
            <w:vMerge w:val="continue"/>
            <w:tcBorders>
              <w:left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c>
          <w:tcPr>
            <w:tcW w:w="1857" w:type="dxa"/>
            <w:vMerge w:val="continue"/>
            <w:tcBorders>
              <w:left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根据《社会团体登记管理条例》、《民办非企业单位登记管理暂行条例》受理之日起60日内作出准予登记或者不准予登记的答复比率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60日内</w:t>
            </w:r>
          </w:p>
        </w:tc>
      </w:tr>
      <w:tr>
        <w:tblPrEx>
          <w:tblCellMar>
            <w:top w:w="0" w:type="dxa"/>
            <w:left w:w="108" w:type="dxa"/>
            <w:bottom w:w="0" w:type="dxa"/>
            <w:right w:w="108" w:type="dxa"/>
          </w:tblCellMar>
        </w:tblPrEx>
        <w:trPr>
          <w:trHeight w:val="327"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对州本级2019年12月31日前在我局注册登记的社会团体进行年检完成率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ind w:firstLine="900" w:firstLineChars="500"/>
              <w:rPr>
                <w:rFonts w:ascii="宋体" w:hAnsi="宋体" w:cs="宋体"/>
                <w:kern w:val="0"/>
                <w:sz w:val="18"/>
                <w:szCs w:val="18"/>
              </w:rPr>
            </w:pPr>
            <w:r>
              <w:rPr>
                <w:rFonts w:hint="eastAsia" w:ascii="宋体" w:hAnsi="宋体" w:cs="宋体"/>
                <w:kern w:val="0"/>
                <w:sz w:val="18"/>
                <w:szCs w:val="18"/>
              </w:rPr>
              <w:t>3月20日-8月31日</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对各县市社会组织登记管理工作人员开展培训</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1次</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社会组织年检合格率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100%</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r>
      <w:tr>
        <w:tblPrEx>
          <w:tblCellMar>
            <w:top w:w="0" w:type="dxa"/>
            <w:left w:w="108" w:type="dxa"/>
            <w:bottom w:w="0" w:type="dxa"/>
            <w:right w:w="108" w:type="dxa"/>
          </w:tblCellMar>
        </w:tblPrEx>
        <w:trPr>
          <w:trHeight w:val="283"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项目效益指标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经济效益指标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社会组织在社会中的服务功能</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逐步提升　</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社会组织在社会中的服务功能逐步显现</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逐步提升　</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生态效益指标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社会组织管理与服务满意率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100%　　</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bl>
    <w:p>
      <w:pPr>
        <w:widowControl/>
        <w:spacing w:line="560" w:lineRule="exact"/>
        <w:jc w:val="left"/>
        <w:rPr>
          <w:rFonts w:ascii="楷体_GB2312" w:hAnsi="宋体" w:eastAsia="楷体_GB2312" w:cs="宋体"/>
          <w:b/>
          <w:kern w:val="0"/>
          <w:sz w:val="32"/>
          <w:szCs w:val="32"/>
        </w:rPr>
      </w:pPr>
    </w:p>
    <w:p>
      <w:pPr>
        <w:widowControl/>
        <w:spacing w:line="560" w:lineRule="exact"/>
        <w:jc w:val="left"/>
        <w:rPr>
          <w:rFonts w:ascii="楷体_GB2312" w:hAnsi="宋体" w:eastAsia="楷体_GB2312" w:cs="宋体"/>
          <w:b/>
          <w:kern w:val="0"/>
          <w:sz w:val="32"/>
          <w:szCs w:val="32"/>
        </w:rPr>
      </w:pPr>
    </w:p>
    <w:tbl>
      <w:tblPr>
        <w:tblStyle w:val="8"/>
        <w:tblW w:w="13973" w:type="dxa"/>
        <w:tblInd w:w="93" w:type="dxa"/>
        <w:tblLayout w:type="fixed"/>
        <w:tblCellMar>
          <w:top w:w="0" w:type="dxa"/>
          <w:left w:w="108" w:type="dxa"/>
          <w:bottom w:w="0" w:type="dxa"/>
          <w:right w:w="108" w:type="dxa"/>
        </w:tblCellMar>
      </w:tblPr>
      <w:tblGrid>
        <w:gridCol w:w="2195"/>
        <w:gridCol w:w="1857"/>
        <w:gridCol w:w="1664"/>
        <w:gridCol w:w="500"/>
        <w:gridCol w:w="1164"/>
        <w:gridCol w:w="323"/>
        <w:gridCol w:w="323"/>
        <w:gridCol w:w="1925"/>
        <w:gridCol w:w="249"/>
        <w:gridCol w:w="1132"/>
        <w:gridCol w:w="2143"/>
        <w:gridCol w:w="249"/>
        <w:gridCol w:w="249"/>
      </w:tblGrid>
      <w:tr>
        <w:tblPrEx>
          <w:tblCellMar>
            <w:top w:w="0" w:type="dxa"/>
            <w:left w:w="108" w:type="dxa"/>
            <w:bottom w:w="0" w:type="dxa"/>
            <w:right w:w="108" w:type="dxa"/>
          </w:tblCellMar>
        </w:tblPrEx>
        <w:trPr>
          <w:trHeight w:val="406" w:hRule="atLeast"/>
        </w:trPr>
        <w:tc>
          <w:tcPr>
            <w:tcW w:w="13973" w:type="dxa"/>
            <w:gridSpan w:val="13"/>
            <w:tcBorders>
              <w:top w:val="nil"/>
              <w:left w:val="nil"/>
              <w:bottom w:val="nil"/>
              <w:right w:val="nil"/>
            </w:tcBorders>
            <w:shd w:val="clear" w:color="auto" w:fill="auto"/>
            <w:noWrap/>
            <w:vAlign w:val="bottom"/>
          </w:tcPr>
          <w:p>
            <w:pPr>
              <w:widowControl/>
              <w:jc w:val="center"/>
              <w:outlineLvl w:val="1"/>
              <w:rPr>
                <w:rFonts w:ascii="宋体" w:hAnsi="宋体" w:cs="宋体"/>
                <w:b/>
                <w:bCs/>
                <w:kern w:val="0"/>
                <w:sz w:val="32"/>
                <w:szCs w:val="32"/>
              </w:rPr>
            </w:pPr>
            <w:r>
              <w:rPr>
                <w:rFonts w:hint="eastAsia" w:ascii="仿宋_GB2312" w:hAnsi="宋体" w:eastAsia="仿宋_GB2312"/>
                <w:b/>
                <w:kern w:val="0"/>
                <w:sz w:val="32"/>
                <w:szCs w:val="32"/>
              </w:rPr>
              <w:t>项  目  支  出  绩  效  目  标  表</w:t>
            </w:r>
          </w:p>
        </w:tc>
      </w:tr>
      <w:tr>
        <w:tblPrEx>
          <w:tblCellMar>
            <w:top w:w="0" w:type="dxa"/>
            <w:left w:w="108" w:type="dxa"/>
            <w:bottom w:w="0" w:type="dxa"/>
            <w:right w:w="108" w:type="dxa"/>
          </w:tblCellMar>
        </w:tblPrEx>
        <w:trPr>
          <w:trHeight w:val="271" w:hRule="atLeast"/>
        </w:trPr>
        <w:tc>
          <w:tcPr>
            <w:tcW w:w="2195"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857"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664"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664" w:type="dxa"/>
            <w:gridSpan w:val="2"/>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925"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3275" w:type="dxa"/>
            <w:gridSpan w:val="2"/>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r>
      <w:tr>
        <w:tblPrEx>
          <w:tblCellMar>
            <w:top w:w="0" w:type="dxa"/>
            <w:left w:w="108" w:type="dxa"/>
            <w:bottom w:w="0" w:type="dxa"/>
            <w:right w:w="108" w:type="dxa"/>
          </w:tblCellMar>
        </w:tblPrEx>
        <w:trPr>
          <w:trHeight w:val="271" w:hRule="atLeast"/>
        </w:trPr>
        <w:tc>
          <w:tcPr>
            <w:tcW w:w="219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831" w:type="dxa"/>
            <w:gridSpan w:val="6"/>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昌吉回族自治州民政局</w:t>
            </w:r>
          </w:p>
        </w:tc>
        <w:tc>
          <w:tcPr>
            <w:tcW w:w="192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22" w:type="dxa"/>
            <w:gridSpan w:val="5"/>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社会组织综合党委工作</w:t>
            </w:r>
          </w:p>
        </w:tc>
      </w:tr>
      <w:tr>
        <w:tblPrEx>
          <w:tblCellMar>
            <w:top w:w="0" w:type="dxa"/>
            <w:left w:w="108" w:type="dxa"/>
            <w:bottom w:w="0" w:type="dxa"/>
            <w:right w:w="108" w:type="dxa"/>
          </w:tblCellMar>
        </w:tblPrEx>
        <w:trPr>
          <w:trHeight w:val="451" w:hRule="atLeast"/>
        </w:trPr>
        <w:tc>
          <w:tcPr>
            <w:tcW w:w="219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164"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11</w:t>
            </w:r>
          </w:p>
        </w:tc>
        <w:tc>
          <w:tcPr>
            <w:tcW w:w="1810"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9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11</w:t>
            </w:r>
          </w:p>
        </w:tc>
        <w:tc>
          <w:tcPr>
            <w:tcW w:w="1381"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41"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r>
      <w:tr>
        <w:tblPrEx>
          <w:tblCellMar>
            <w:top w:w="0" w:type="dxa"/>
            <w:left w:w="108" w:type="dxa"/>
            <w:bottom w:w="0" w:type="dxa"/>
            <w:right w:w="108" w:type="dxa"/>
          </w:tblCellMar>
        </w:tblPrEx>
        <w:trPr>
          <w:trHeight w:val="40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778" w:type="dxa"/>
            <w:gridSpan w:val="12"/>
            <w:tcBorders>
              <w:top w:val="nil"/>
              <w:left w:val="nil"/>
              <w:bottom w:val="single" w:color="000000" w:sz="4" w:space="0"/>
              <w:right w:val="single" w:color="000000" w:sz="4" w:space="0"/>
            </w:tcBorders>
            <w:shd w:val="clear" w:color="auto" w:fill="auto"/>
          </w:tcPr>
          <w:p>
            <w:pPr>
              <w:widowControl/>
              <w:jc w:val="left"/>
              <w:rPr>
                <w:rFonts w:ascii="宋体" w:hAnsi="宋体" w:cs="宋体"/>
                <w:kern w:val="0"/>
                <w:sz w:val="18"/>
                <w:szCs w:val="18"/>
              </w:rPr>
            </w:pPr>
            <w:r>
              <w:rPr>
                <w:rFonts w:hint="eastAsia" w:ascii="宋体" w:hAnsi="宋体" w:cs="宋体"/>
                <w:kern w:val="0"/>
                <w:sz w:val="18"/>
                <w:szCs w:val="18"/>
              </w:rPr>
              <w:t>职能：1.负责宣传和贯彻党的路线、方针、政策,抓好所属社会组织党的建设工作。2.党务工作者、入党积极分及重点培养对象教育培训。3.对社会组织党组织建设工作进行督导检查。4.党组织开展活动。5.完成州社会组织综合党委交办的其他各项工作。</w:t>
            </w:r>
          </w:p>
          <w:p>
            <w:pPr>
              <w:widowControl/>
              <w:jc w:val="left"/>
              <w:rPr>
                <w:rFonts w:ascii="宋体" w:hAnsi="宋体" w:cs="宋体"/>
                <w:kern w:val="0"/>
                <w:sz w:val="18"/>
                <w:szCs w:val="18"/>
              </w:rPr>
            </w:pPr>
            <w:r>
              <w:rPr>
                <w:rFonts w:hint="eastAsia" w:ascii="宋体" w:hAnsi="宋体" w:cs="宋体"/>
                <w:kern w:val="0"/>
                <w:sz w:val="18"/>
                <w:szCs w:val="18"/>
              </w:rPr>
              <w:t>目标：1、对社会组织的党建工作进行督导检查。</w:t>
            </w:r>
          </w:p>
          <w:p>
            <w:pPr>
              <w:widowControl/>
              <w:jc w:val="left"/>
              <w:rPr>
                <w:rFonts w:ascii="宋体" w:hAnsi="宋体" w:cs="宋体"/>
                <w:kern w:val="0"/>
                <w:sz w:val="18"/>
                <w:szCs w:val="18"/>
              </w:rPr>
            </w:pPr>
            <w:r>
              <w:rPr>
                <w:rFonts w:hint="eastAsia" w:ascii="宋体" w:hAnsi="宋体" w:cs="宋体"/>
                <w:kern w:val="0"/>
                <w:sz w:val="18"/>
                <w:szCs w:val="18"/>
              </w:rPr>
              <w:t>2、党务工作者、入党积极分及重点培养对象教育培训。</w:t>
            </w:r>
          </w:p>
          <w:p>
            <w:pPr>
              <w:widowControl/>
              <w:jc w:val="left"/>
              <w:rPr>
                <w:rFonts w:ascii="宋体" w:hAnsi="宋体" w:cs="宋体"/>
                <w:kern w:val="0"/>
                <w:sz w:val="18"/>
                <w:szCs w:val="18"/>
              </w:rPr>
            </w:pPr>
            <w:r>
              <w:rPr>
                <w:rFonts w:hint="eastAsia" w:ascii="宋体" w:hAnsi="宋体" w:cs="宋体"/>
                <w:kern w:val="0"/>
                <w:sz w:val="18"/>
                <w:szCs w:val="18"/>
              </w:rPr>
              <w:t>3、提升社会组织党建规范化水平。</w:t>
            </w:r>
          </w:p>
          <w:p>
            <w:pPr>
              <w:widowControl/>
              <w:jc w:val="left"/>
              <w:rPr>
                <w:rFonts w:ascii="宋体" w:hAnsi="宋体" w:cs="宋体"/>
                <w:kern w:val="0"/>
                <w:sz w:val="18"/>
                <w:szCs w:val="18"/>
              </w:rPr>
            </w:pPr>
            <w:r>
              <w:rPr>
                <w:rFonts w:hint="eastAsia" w:ascii="宋体" w:hAnsi="宋体" w:cs="宋体"/>
                <w:kern w:val="0"/>
                <w:sz w:val="18"/>
                <w:szCs w:val="18"/>
              </w:rPr>
              <w:t xml:space="preserve">4、为社会组织党组织征订《社会组织党建》党刊不少于20套。                                              </w:t>
            </w:r>
          </w:p>
        </w:tc>
      </w:tr>
      <w:tr>
        <w:tblPrEx>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857"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tblPrEx>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rPr>
                <w:rFonts w:ascii="宋体" w:hAnsi="宋体" w:cs="宋体"/>
                <w:kern w:val="0"/>
                <w:sz w:val="18"/>
                <w:szCs w:val="18"/>
              </w:rPr>
            </w:pPr>
            <w:r>
              <w:rPr>
                <w:rFonts w:hint="eastAsia" w:ascii="宋体" w:hAnsi="宋体" w:cs="宋体"/>
                <w:kern w:val="0"/>
                <w:sz w:val="18"/>
                <w:szCs w:val="18"/>
              </w:rPr>
              <w:t>社会组织党委工作经费（万元）</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11</w:t>
            </w:r>
          </w:p>
        </w:tc>
      </w:tr>
      <w:tr>
        <w:tblPrEx>
          <w:tblCellMar>
            <w:top w:w="0" w:type="dxa"/>
            <w:left w:w="108" w:type="dxa"/>
            <w:bottom w:w="0" w:type="dxa"/>
            <w:right w:w="108" w:type="dxa"/>
          </w:tblCellMar>
        </w:tblPrEx>
        <w:trPr>
          <w:trHeight w:val="271" w:hRule="atLeast"/>
        </w:trPr>
        <w:tc>
          <w:tcPr>
            <w:tcW w:w="2195" w:type="dxa"/>
            <w:vMerge w:val="continue"/>
            <w:tcBorders>
              <w:left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c>
          <w:tcPr>
            <w:tcW w:w="1857" w:type="dxa"/>
            <w:vMerge w:val="continue"/>
            <w:tcBorders>
              <w:left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对社会组织党组织建设工作进行督导检查</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ascii="宋体" w:hAnsi="宋体" w:cs="宋体"/>
                <w:kern w:val="0"/>
                <w:sz w:val="18"/>
                <w:szCs w:val="18"/>
              </w:rPr>
              <w:t>12月30日前</w:t>
            </w:r>
          </w:p>
        </w:tc>
      </w:tr>
      <w:tr>
        <w:tblPrEx>
          <w:tblCellMar>
            <w:top w:w="0" w:type="dxa"/>
            <w:left w:w="108" w:type="dxa"/>
            <w:bottom w:w="0" w:type="dxa"/>
            <w:right w:w="108" w:type="dxa"/>
          </w:tblCellMar>
        </w:tblPrEx>
        <w:trPr>
          <w:trHeight w:val="327"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根据上级党组织有关文件开展社会组织党组织日常管理</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ind w:firstLine="1260" w:firstLineChars="700"/>
              <w:rPr>
                <w:rFonts w:ascii="宋体" w:hAnsi="宋体" w:cs="宋体"/>
                <w:kern w:val="0"/>
                <w:sz w:val="18"/>
                <w:szCs w:val="18"/>
              </w:rPr>
            </w:pPr>
            <w:r>
              <w:rPr>
                <w:rFonts w:ascii="宋体" w:hAnsi="宋体" w:cs="宋体"/>
                <w:kern w:val="0"/>
                <w:sz w:val="18"/>
                <w:szCs w:val="18"/>
              </w:rPr>
              <w:t>12月30日前</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党务工作者、入党积极分及重点培养对象教育培训（次数）</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征订《社会组织党建》党刊（套数</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≥20</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党组织开展活动（次数）</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2</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对社会组织党组织建设工作进行督导检查完成率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100%</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r>
      <w:tr>
        <w:tblPrEx>
          <w:tblCellMar>
            <w:top w:w="0" w:type="dxa"/>
            <w:left w:w="108" w:type="dxa"/>
            <w:bottom w:w="0" w:type="dxa"/>
            <w:right w:w="108" w:type="dxa"/>
          </w:tblCellMar>
        </w:tblPrEx>
        <w:trPr>
          <w:trHeight w:val="283"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项目效益指标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经济效益指标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82"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提升社会组织党建规范化水平</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逐步提升　</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提升社会组织党组织作用升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逐步提升　</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生态效益指标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党组织开展活动满意度</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100%　　</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bl>
    <w:p>
      <w:pPr>
        <w:widowControl/>
        <w:spacing w:line="560" w:lineRule="exact"/>
        <w:jc w:val="left"/>
        <w:rPr>
          <w:rFonts w:ascii="楷体_GB2312" w:hAnsi="宋体" w:eastAsia="楷体_GB2312" w:cs="宋体"/>
          <w:b/>
          <w:kern w:val="0"/>
          <w:sz w:val="32"/>
          <w:szCs w:val="32"/>
        </w:rPr>
      </w:pPr>
    </w:p>
    <w:p>
      <w:pPr>
        <w:widowControl/>
        <w:spacing w:line="560" w:lineRule="exact"/>
        <w:jc w:val="left"/>
        <w:rPr>
          <w:rFonts w:ascii="楷体_GB2312" w:hAnsi="宋体" w:eastAsia="楷体_GB2312" w:cs="宋体"/>
          <w:b/>
          <w:kern w:val="0"/>
          <w:sz w:val="32"/>
          <w:szCs w:val="32"/>
        </w:rPr>
      </w:pPr>
    </w:p>
    <w:tbl>
      <w:tblPr>
        <w:tblStyle w:val="8"/>
        <w:tblW w:w="13973" w:type="dxa"/>
        <w:tblInd w:w="93" w:type="dxa"/>
        <w:tblLayout w:type="fixed"/>
        <w:tblCellMar>
          <w:top w:w="0" w:type="dxa"/>
          <w:left w:w="108" w:type="dxa"/>
          <w:bottom w:w="0" w:type="dxa"/>
          <w:right w:w="108" w:type="dxa"/>
        </w:tblCellMar>
      </w:tblPr>
      <w:tblGrid>
        <w:gridCol w:w="2195"/>
        <w:gridCol w:w="1857"/>
        <w:gridCol w:w="1664"/>
        <w:gridCol w:w="500"/>
        <w:gridCol w:w="1164"/>
        <w:gridCol w:w="323"/>
        <w:gridCol w:w="323"/>
        <w:gridCol w:w="1925"/>
        <w:gridCol w:w="249"/>
        <w:gridCol w:w="1132"/>
        <w:gridCol w:w="2143"/>
        <w:gridCol w:w="249"/>
        <w:gridCol w:w="249"/>
      </w:tblGrid>
      <w:tr>
        <w:tblPrEx>
          <w:tblCellMar>
            <w:top w:w="0" w:type="dxa"/>
            <w:left w:w="108" w:type="dxa"/>
            <w:bottom w:w="0" w:type="dxa"/>
            <w:right w:w="108" w:type="dxa"/>
          </w:tblCellMar>
        </w:tblPrEx>
        <w:trPr>
          <w:trHeight w:val="406" w:hRule="atLeast"/>
        </w:trPr>
        <w:tc>
          <w:tcPr>
            <w:tcW w:w="13973" w:type="dxa"/>
            <w:gridSpan w:val="13"/>
            <w:tcBorders>
              <w:top w:val="nil"/>
              <w:left w:val="nil"/>
              <w:bottom w:val="nil"/>
              <w:right w:val="nil"/>
            </w:tcBorders>
            <w:shd w:val="clear" w:color="auto" w:fill="auto"/>
            <w:noWrap/>
            <w:vAlign w:val="bottom"/>
          </w:tcPr>
          <w:p>
            <w:pPr>
              <w:widowControl/>
              <w:jc w:val="center"/>
              <w:outlineLvl w:val="1"/>
              <w:rPr>
                <w:rFonts w:ascii="宋体" w:hAnsi="宋体" w:cs="宋体"/>
                <w:b/>
                <w:bCs/>
                <w:kern w:val="0"/>
                <w:sz w:val="32"/>
                <w:szCs w:val="32"/>
              </w:rPr>
            </w:pPr>
            <w:r>
              <w:rPr>
                <w:rFonts w:hint="eastAsia" w:ascii="仿宋_GB2312" w:hAnsi="宋体" w:eastAsia="仿宋_GB2312"/>
                <w:b/>
                <w:kern w:val="0"/>
                <w:sz w:val="32"/>
                <w:szCs w:val="32"/>
              </w:rPr>
              <w:t>项  目  支  出  绩  效  目  标  表</w:t>
            </w:r>
          </w:p>
        </w:tc>
      </w:tr>
      <w:tr>
        <w:tblPrEx>
          <w:tblCellMar>
            <w:top w:w="0" w:type="dxa"/>
            <w:left w:w="108" w:type="dxa"/>
            <w:bottom w:w="0" w:type="dxa"/>
            <w:right w:w="108" w:type="dxa"/>
          </w:tblCellMar>
        </w:tblPrEx>
        <w:trPr>
          <w:trHeight w:val="271" w:hRule="atLeast"/>
        </w:trPr>
        <w:tc>
          <w:tcPr>
            <w:tcW w:w="2195"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857"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664"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664" w:type="dxa"/>
            <w:gridSpan w:val="2"/>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925"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3275" w:type="dxa"/>
            <w:gridSpan w:val="2"/>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r>
      <w:tr>
        <w:tblPrEx>
          <w:tblCellMar>
            <w:top w:w="0" w:type="dxa"/>
            <w:left w:w="108" w:type="dxa"/>
            <w:bottom w:w="0" w:type="dxa"/>
            <w:right w:w="108" w:type="dxa"/>
          </w:tblCellMar>
        </w:tblPrEx>
        <w:trPr>
          <w:trHeight w:val="271" w:hRule="atLeast"/>
        </w:trPr>
        <w:tc>
          <w:tcPr>
            <w:tcW w:w="219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831" w:type="dxa"/>
            <w:gridSpan w:val="6"/>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昌吉回族自治州民政局</w:t>
            </w:r>
          </w:p>
        </w:tc>
        <w:tc>
          <w:tcPr>
            <w:tcW w:w="192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22" w:type="dxa"/>
            <w:gridSpan w:val="5"/>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地名与区划管理</w:t>
            </w:r>
          </w:p>
        </w:tc>
      </w:tr>
      <w:tr>
        <w:tblPrEx>
          <w:tblCellMar>
            <w:top w:w="0" w:type="dxa"/>
            <w:left w:w="108" w:type="dxa"/>
            <w:bottom w:w="0" w:type="dxa"/>
            <w:right w:w="108" w:type="dxa"/>
          </w:tblCellMar>
        </w:tblPrEx>
        <w:trPr>
          <w:trHeight w:val="451" w:hRule="atLeast"/>
        </w:trPr>
        <w:tc>
          <w:tcPr>
            <w:tcW w:w="219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164"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15</w:t>
            </w:r>
          </w:p>
        </w:tc>
        <w:tc>
          <w:tcPr>
            <w:tcW w:w="1810"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9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15</w:t>
            </w:r>
          </w:p>
        </w:tc>
        <w:tc>
          <w:tcPr>
            <w:tcW w:w="1381"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41"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r>
      <w:tr>
        <w:tblPrEx>
          <w:tblCellMar>
            <w:top w:w="0" w:type="dxa"/>
            <w:left w:w="108" w:type="dxa"/>
            <w:bottom w:w="0" w:type="dxa"/>
            <w:right w:w="108" w:type="dxa"/>
          </w:tblCellMar>
        </w:tblPrEx>
        <w:trPr>
          <w:trHeight w:val="40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778" w:type="dxa"/>
            <w:gridSpan w:val="12"/>
            <w:tcBorders>
              <w:top w:val="nil"/>
              <w:left w:val="nil"/>
              <w:bottom w:val="single" w:color="000000" w:sz="4" w:space="0"/>
              <w:right w:val="single" w:color="000000" w:sz="4" w:space="0"/>
            </w:tcBorders>
            <w:shd w:val="clear" w:color="auto" w:fill="auto"/>
          </w:tcPr>
          <w:p>
            <w:pPr>
              <w:widowControl/>
              <w:jc w:val="left"/>
              <w:rPr>
                <w:rFonts w:ascii="宋体" w:hAnsi="宋体" w:cs="宋体"/>
                <w:kern w:val="0"/>
                <w:sz w:val="18"/>
                <w:szCs w:val="18"/>
              </w:rPr>
            </w:pPr>
            <w:r>
              <w:rPr>
                <w:rFonts w:hint="eastAsia" w:ascii="宋体" w:hAnsi="宋体" w:cs="宋体"/>
                <w:kern w:val="0"/>
                <w:sz w:val="18"/>
                <w:szCs w:val="18"/>
              </w:rPr>
              <w:t>职能：贯彻执行行政区划管理政策和行政区域界线、地名管理办法；承办村以上行政区划的设立、撤销、调整、更名和界线变更及乡镇以上人民政府驻地迁移的审核报批工作；负责全州行政区域界线的勘定和管理，调处州内行政区域界线争议；负责全州地名管理工作。</w:t>
            </w:r>
          </w:p>
          <w:p>
            <w:pPr>
              <w:widowControl/>
              <w:jc w:val="left"/>
              <w:rPr>
                <w:rFonts w:ascii="宋体" w:hAnsi="宋体" w:cs="宋体"/>
                <w:kern w:val="0"/>
                <w:sz w:val="18"/>
                <w:szCs w:val="18"/>
              </w:rPr>
            </w:pPr>
            <w:r>
              <w:rPr>
                <w:rFonts w:hint="eastAsia" w:ascii="宋体" w:hAnsi="宋体" w:cs="宋体"/>
                <w:kern w:val="0"/>
                <w:sz w:val="18"/>
                <w:szCs w:val="18"/>
              </w:rPr>
              <w:t>目标1.地州级界线联合检查工作；</w:t>
            </w:r>
          </w:p>
          <w:p>
            <w:pPr>
              <w:widowControl/>
              <w:jc w:val="left"/>
              <w:rPr>
                <w:rFonts w:ascii="宋体" w:hAnsi="宋体" w:cs="宋体"/>
                <w:kern w:val="0"/>
                <w:sz w:val="18"/>
                <w:szCs w:val="18"/>
              </w:rPr>
            </w:pPr>
            <w:r>
              <w:rPr>
                <w:rFonts w:hint="eastAsia" w:ascii="宋体" w:hAnsi="宋体" w:cs="宋体"/>
                <w:kern w:val="0"/>
                <w:sz w:val="18"/>
                <w:szCs w:val="18"/>
              </w:rPr>
              <w:t xml:space="preserve">     ①制定本年度地州级联检方案制定；②开展外业界限联检工作；③对损毁、丢失的界桩进行恢复；④召开联检会议，签订相关协议，形成成果报自治区民政厅。</w:t>
            </w:r>
          </w:p>
          <w:p>
            <w:pPr>
              <w:widowControl/>
              <w:jc w:val="left"/>
              <w:rPr>
                <w:rFonts w:ascii="宋体" w:hAnsi="宋体" w:cs="宋体"/>
                <w:kern w:val="0"/>
                <w:sz w:val="18"/>
                <w:szCs w:val="18"/>
              </w:rPr>
            </w:pPr>
            <w:r>
              <w:rPr>
                <w:rFonts w:hint="eastAsia" w:ascii="宋体" w:hAnsi="宋体" w:cs="宋体"/>
                <w:kern w:val="0"/>
                <w:sz w:val="18"/>
                <w:szCs w:val="18"/>
              </w:rPr>
              <w:t xml:space="preserve">   2.开展国家地名信息库更新完善工作。</w:t>
            </w:r>
          </w:p>
          <w:p>
            <w:pPr>
              <w:widowControl/>
              <w:jc w:val="left"/>
              <w:rPr>
                <w:rFonts w:ascii="宋体" w:hAnsi="宋体" w:cs="宋体"/>
                <w:kern w:val="0"/>
                <w:sz w:val="18"/>
                <w:szCs w:val="18"/>
              </w:rPr>
            </w:pPr>
            <w:r>
              <w:rPr>
                <w:rFonts w:hint="eastAsia" w:ascii="宋体" w:hAnsi="宋体" w:cs="宋体"/>
                <w:kern w:val="0"/>
                <w:sz w:val="18"/>
                <w:szCs w:val="18"/>
              </w:rPr>
              <w:t xml:space="preserve">     ①执行国家常态化更新机制，加强业务指导培训工作；②督促县市按时完成录入工作；③按时完成州级把关、审核、上报工作。</w:t>
            </w:r>
          </w:p>
        </w:tc>
      </w:tr>
      <w:tr>
        <w:tblPrEx>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857"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tblPrEx>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rPr>
                <w:rFonts w:ascii="宋体" w:hAnsi="宋体" w:cs="宋体"/>
                <w:kern w:val="0"/>
                <w:sz w:val="18"/>
                <w:szCs w:val="18"/>
              </w:rPr>
            </w:pPr>
            <w:r>
              <w:rPr>
                <w:rFonts w:hint="eastAsia" w:ascii="宋体" w:hAnsi="宋体" w:cs="宋体"/>
                <w:kern w:val="0"/>
                <w:sz w:val="18"/>
                <w:szCs w:val="18"/>
              </w:rPr>
              <w:t>地名与区划管理经费（万元）</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15</w:t>
            </w:r>
          </w:p>
        </w:tc>
      </w:tr>
      <w:tr>
        <w:tblPrEx>
          <w:tblCellMar>
            <w:top w:w="0" w:type="dxa"/>
            <w:left w:w="108" w:type="dxa"/>
            <w:bottom w:w="0" w:type="dxa"/>
            <w:right w:w="108" w:type="dxa"/>
          </w:tblCellMar>
        </w:tblPrEx>
        <w:trPr>
          <w:trHeight w:val="271" w:hRule="atLeast"/>
        </w:trPr>
        <w:tc>
          <w:tcPr>
            <w:tcW w:w="2195" w:type="dxa"/>
            <w:vMerge w:val="continue"/>
            <w:tcBorders>
              <w:left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c>
          <w:tcPr>
            <w:tcW w:w="1857" w:type="dxa"/>
            <w:vMerge w:val="continue"/>
            <w:tcBorders>
              <w:left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边界联检完成时间</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ascii="宋体" w:hAnsi="宋体" w:cs="宋体"/>
                <w:kern w:val="0"/>
                <w:sz w:val="18"/>
                <w:szCs w:val="18"/>
              </w:rPr>
              <w:t>12月30日前</w:t>
            </w:r>
          </w:p>
        </w:tc>
      </w:tr>
      <w:tr>
        <w:tblPrEx>
          <w:tblCellMar>
            <w:top w:w="0" w:type="dxa"/>
            <w:left w:w="108" w:type="dxa"/>
            <w:bottom w:w="0" w:type="dxa"/>
            <w:right w:w="108" w:type="dxa"/>
          </w:tblCellMar>
        </w:tblPrEx>
        <w:trPr>
          <w:trHeight w:val="327"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国家地名信息库更新完善工作完成时间</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ind w:firstLine="1260" w:firstLineChars="700"/>
              <w:rPr>
                <w:rFonts w:ascii="宋体" w:hAnsi="宋体" w:cs="宋体"/>
                <w:kern w:val="0"/>
                <w:sz w:val="18"/>
                <w:szCs w:val="18"/>
              </w:rPr>
            </w:pPr>
            <w:r>
              <w:rPr>
                <w:rFonts w:hint="eastAsia" w:ascii="宋体" w:hAnsi="宋体" w:cs="宋体"/>
                <w:kern w:val="0"/>
                <w:sz w:val="18"/>
                <w:szCs w:val="18"/>
              </w:rPr>
              <w:t>6</w:t>
            </w:r>
            <w:r>
              <w:rPr>
                <w:rFonts w:ascii="宋体" w:hAnsi="宋体" w:cs="宋体"/>
                <w:kern w:val="0"/>
                <w:sz w:val="18"/>
                <w:szCs w:val="18"/>
              </w:rPr>
              <w:t>月30日前</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完成州级行政区域界线联检</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界碑检查、修复完成率100%</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100%</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r>
      <w:tr>
        <w:tblPrEx>
          <w:tblCellMar>
            <w:top w:w="0" w:type="dxa"/>
            <w:left w:w="108" w:type="dxa"/>
            <w:bottom w:w="0" w:type="dxa"/>
            <w:right w:w="108" w:type="dxa"/>
          </w:tblCellMar>
        </w:tblPrEx>
        <w:trPr>
          <w:trHeight w:val="283"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项目效益指标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经济效益指标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82"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向社会提供标准地名公共服务，确保边界和谐稳定</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逐步提升　</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预防和减少边界纠纷的发生率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0纠纷</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国家地名信息库准确率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100%</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生态效益指标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地名公共服务群众满意度</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100%　　</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bl>
    <w:p>
      <w:pPr>
        <w:widowControl/>
        <w:spacing w:line="560" w:lineRule="exact"/>
        <w:jc w:val="left"/>
        <w:rPr>
          <w:rFonts w:ascii="楷体_GB2312" w:hAnsi="宋体" w:eastAsia="楷体_GB2312" w:cs="宋体"/>
          <w:b/>
          <w:kern w:val="0"/>
          <w:sz w:val="32"/>
          <w:szCs w:val="32"/>
        </w:rPr>
        <w:sectPr>
          <w:pgSz w:w="16838" w:h="11906" w:orient="landscape"/>
          <w:pgMar w:top="1800" w:right="1440" w:bottom="1800" w:left="1440" w:header="851" w:footer="992" w:gutter="0"/>
          <w:pgNumType w:fmt="numberInDash" w:start="32"/>
          <w:cols w:space="425" w:num="1"/>
          <w:docGrid w:type="lines" w:linePitch="312" w:charSpace="0"/>
        </w:sectPr>
      </w:pPr>
    </w:p>
    <w:p>
      <w:pPr>
        <w:widowControl/>
        <w:spacing w:line="520" w:lineRule="exact"/>
        <w:ind w:firstLine="630" w:firstLineChars="196"/>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widowControl/>
        <w:spacing w:line="52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无其他需说明的事项。</w:t>
      </w:r>
    </w:p>
    <w:p>
      <w:pPr>
        <w:widowControl/>
        <w:spacing w:line="52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p>
    <w:p>
      <w:pPr>
        <w:widowControl/>
        <w:spacing w:before="156" w:beforeLines="50" w:line="520" w:lineRule="exact"/>
        <w:jc w:val="center"/>
        <w:outlineLvl w:val="1"/>
        <w:rPr>
          <w:rFonts w:ascii="黑体" w:hAnsi="黑体" w:eastAsia="黑体"/>
          <w:kern w:val="0"/>
          <w:sz w:val="32"/>
          <w:szCs w:val="32"/>
        </w:rPr>
      </w:pPr>
      <w:r>
        <w:rPr>
          <w:rFonts w:hint="eastAsia" w:ascii="黑体" w:hAnsi="黑体" w:eastAsia="黑体"/>
          <w:kern w:val="0"/>
          <w:sz w:val="32"/>
          <w:szCs w:val="32"/>
        </w:rPr>
        <w:t>第四部分  名词解释</w:t>
      </w:r>
    </w:p>
    <w:p>
      <w:pPr>
        <w:widowControl/>
        <w:spacing w:before="156" w:beforeLines="50" w:line="520" w:lineRule="exact"/>
        <w:jc w:val="center"/>
        <w:outlineLvl w:val="1"/>
        <w:rPr>
          <w:rFonts w:ascii="黑体" w:hAnsi="黑体" w:eastAsia="黑体"/>
          <w:kern w:val="0"/>
          <w:sz w:val="32"/>
          <w:szCs w:val="32"/>
        </w:rPr>
      </w:pPr>
    </w:p>
    <w:p>
      <w:pPr>
        <w:widowControl/>
        <w:spacing w:line="52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pPr>
        <w:spacing w:line="52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指由一般公共预算、政府性基金预算安排的财政拨款数。</w:t>
      </w:r>
    </w:p>
    <w:p>
      <w:pPr>
        <w:spacing w:line="52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pacing w:val="-6"/>
          <w:sz w:val="32"/>
          <w:szCs w:val="32"/>
        </w:rPr>
        <w:t>包括公共财政拨款（补助）资金、专项收入。</w:t>
      </w:r>
    </w:p>
    <w:p>
      <w:pPr>
        <w:spacing w:line="520" w:lineRule="exact"/>
        <w:ind w:firstLine="642"/>
        <w:rPr>
          <w:rFonts w:ascii="仿宋_GB2312" w:eastAsia="仿宋_GB2312"/>
          <w:sz w:val="32"/>
          <w:szCs w:val="32"/>
        </w:rPr>
      </w:pPr>
      <w:r>
        <w:rPr>
          <w:rFonts w:hint="eastAsia" w:ascii="黑体" w:hAnsi="黑体" w:eastAsia="黑体"/>
          <w:sz w:val="32"/>
          <w:szCs w:val="32"/>
        </w:rPr>
        <w:t>三、财政专户管理资金：</w:t>
      </w:r>
      <w:r>
        <w:rPr>
          <w:rFonts w:hint="eastAsia" w:ascii="仿宋_GB2312" w:eastAsia="仿宋_GB2312"/>
          <w:sz w:val="32"/>
          <w:szCs w:val="32"/>
        </w:rPr>
        <w:t>包括专户管理行政事业性收费（主要是教育收费）、其他非税收入。</w:t>
      </w:r>
    </w:p>
    <w:p>
      <w:pPr>
        <w:spacing w:line="520" w:lineRule="exact"/>
        <w:ind w:firstLine="642"/>
        <w:rPr>
          <w:rFonts w:ascii="仿宋_GB2312" w:eastAsia="仿宋_GB2312"/>
          <w:sz w:val="32"/>
          <w:szCs w:val="32"/>
        </w:rPr>
      </w:pPr>
      <w:r>
        <w:rPr>
          <w:rFonts w:hint="eastAsia" w:ascii="黑体" w:hAnsi="黑体" w:eastAsia="黑体"/>
          <w:sz w:val="32"/>
          <w:szCs w:val="32"/>
        </w:rPr>
        <w:t>四、其他资金：</w:t>
      </w:r>
      <w:r>
        <w:rPr>
          <w:rFonts w:hint="eastAsia" w:ascii="仿宋_GB2312" w:eastAsia="仿宋_GB2312"/>
          <w:sz w:val="32"/>
          <w:szCs w:val="32"/>
        </w:rPr>
        <w:t>包括事业收入、经营收入、其他收入等。</w:t>
      </w:r>
    </w:p>
    <w:p>
      <w:pPr>
        <w:spacing w:line="520" w:lineRule="exact"/>
        <w:ind w:firstLine="642"/>
        <w:rPr>
          <w:rFonts w:ascii="仿宋_GB2312" w:eastAsia="仿宋_GB2312"/>
          <w:sz w:val="32"/>
          <w:szCs w:val="32"/>
        </w:rPr>
      </w:pPr>
      <w:r>
        <w:rPr>
          <w:rFonts w:hint="eastAsia" w:ascii="黑体" w:hAnsi="黑体" w:eastAsia="黑体"/>
          <w:sz w:val="32"/>
          <w:szCs w:val="32"/>
        </w:rPr>
        <w:t>五、基本支出：</w:t>
      </w:r>
      <w:r>
        <w:rPr>
          <w:rFonts w:hint="eastAsia" w:ascii="仿宋_GB2312" w:eastAsia="仿宋_GB2312"/>
          <w:sz w:val="32"/>
          <w:szCs w:val="32"/>
        </w:rPr>
        <w:t>包括人员经费、商品和服务支出（定额）。其中，人员经费包括工资福利支出、对个人和家庭的补助。</w:t>
      </w:r>
    </w:p>
    <w:p>
      <w:pPr>
        <w:spacing w:line="520" w:lineRule="exact"/>
        <w:ind w:firstLine="642"/>
        <w:rPr>
          <w:rFonts w:ascii="仿宋_GB2312" w:eastAsia="仿宋_GB2312"/>
          <w:sz w:val="32"/>
          <w:szCs w:val="32"/>
        </w:rPr>
      </w:pPr>
      <w:r>
        <w:rPr>
          <w:rFonts w:hint="eastAsia" w:ascii="黑体" w:hAnsi="黑体" w:eastAsia="黑体"/>
          <w:sz w:val="32"/>
          <w:szCs w:val="32"/>
        </w:rPr>
        <w:t>六、项目支出：</w:t>
      </w:r>
      <w:r>
        <w:rPr>
          <w:rFonts w:hint="eastAsia" w:ascii="仿宋_GB2312" w:eastAsia="仿宋_GB2312"/>
          <w:sz w:val="32"/>
          <w:szCs w:val="32"/>
        </w:rPr>
        <w:t>部门支出预算的组成部分，是州本级部门为完成其特定的行政任务或事业发展目标，在基本支出预算之外编制的年度项目支出计划。</w:t>
      </w:r>
    </w:p>
    <w:p>
      <w:pPr>
        <w:spacing w:line="520" w:lineRule="exact"/>
        <w:ind w:firstLine="642"/>
        <w:rPr>
          <w:rFonts w:ascii="仿宋_GB2312" w:eastAsia="仿宋_GB2312"/>
          <w:sz w:val="32"/>
          <w:szCs w:val="32"/>
        </w:rPr>
      </w:pPr>
      <w:r>
        <w:rPr>
          <w:rFonts w:hint="eastAsia" w:ascii="黑体" w:hAnsi="黑体" w:eastAsia="黑体"/>
          <w:sz w:val="32"/>
          <w:szCs w:val="32"/>
        </w:rPr>
        <w:t>七、“三公”经费：</w:t>
      </w:r>
      <w:r>
        <w:rPr>
          <w:rFonts w:hint="eastAsia" w:ascii="仿宋_GB2312" w:eastAsia="仿宋_GB2312"/>
          <w:sz w:val="32"/>
          <w:szCs w:val="32"/>
        </w:rPr>
        <w:t>指州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spacing w:line="520" w:lineRule="exact"/>
        <w:ind w:firstLine="642"/>
        <w:rPr>
          <w:rFonts w:ascii="仿宋_GB2312" w:hAnsi="宋体" w:eastAsia="仿宋_GB2312" w:cs="宋体"/>
          <w:kern w:val="0"/>
          <w:sz w:val="32"/>
          <w:szCs w:val="32"/>
        </w:rPr>
      </w:pPr>
      <w:r>
        <w:rPr>
          <w:rFonts w:hint="eastAsia" w:ascii="黑体" w:hAnsi="黑体" w:eastAsia="黑体"/>
          <w:sz w:val="32"/>
          <w:szCs w:val="32"/>
        </w:rPr>
        <w:t>八、机关运行经费：</w:t>
      </w:r>
      <w:r>
        <w:rPr>
          <w:rFonts w:hint="eastAsia" w:ascii="仿宋_GB2312" w:eastAsia="仿宋_GB2312"/>
          <w:sz w:val="32"/>
          <w:szCs w:val="32"/>
        </w:rPr>
        <w:t>指各部门的公用经费，包括办公及印刷费、邮电费、差旅费、会议费、福利费、日常维修费、专用材料及一般设备购置费、办公用房水电费、办公用房取暖费、办公用房物业管理费、公务用车运行维护费及其他费用。</w:t>
      </w:r>
      <w:r>
        <w:rPr>
          <w:rFonts w:hint="eastAsia" w:ascii="仿宋_GB2312" w:hAnsi="宋体" w:eastAsia="仿宋_GB2312" w:cs="宋体"/>
          <w:kern w:val="0"/>
          <w:sz w:val="32"/>
          <w:szCs w:val="32"/>
        </w:rPr>
        <w:t xml:space="preserve">     </w:t>
      </w: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ind w:left="5440" w:hanging="5440" w:hangingChars="17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昌吉回族自治州民政局                                2020</w:t>
      </w:r>
      <w:r>
        <w:rPr>
          <w:rFonts w:ascii="仿宋_GB2312" w:hAnsi="宋体" w:eastAsia="仿宋_GB2312" w:cs="宋体"/>
          <w:kern w:val="0"/>
          <w:sz w:val="32"/>
          <w:szCs w:val="32"/>
        </w:rPr>
        <w:t>年</w:t>
      </w:r>
      <w:r>
        <w:rPr>
          <w:rFonts w:hint="eastAsia" w:ascii="仿宋_GB2312" w:hAnsi="宋体" w:eastAsia="仿宋_GB2312" w:cs="宋体"/>
          <w:kern w:val="0"/>
          <w:sz w:val="32"/>
          <w:szCs w:val="32"/>
        </w:rPr>
        <w:t>1</w:t>
      </w:r>
      <w:r>
        <w:rPr>
          <w:rFonts w:ascii="仿宋_GB2312" w:hAnsi="宋体" w:eastAsia="仿宋_GB2312" w:cs="宋体"/>
          <w:kern w:val="0"/>
          <w:sz w:val="32"/>
          <w:szCs w:val="32"/>
        </w:rPr>
        <w:t>月</w:t>
      </w:r>
      <w:r>
        <w:rPr>
          <w:rFonts w:hint="eastAsia" w:ascii="仿宋_GB2312" w:hAnsi="宋体" w:eastAsia="仿宋_GB2312" w:cs="宋体"/>
          <w:kern w:val="0"/>
          <w:sz w:val="32"/>
          <w:szCs w:val="32"/>
        </w:rPr>
        <w:t>22</w:t>
      </w:r>
      <w:r>
        <w:rPr>
          <w:rFonts w:ascii="仿宋_GB2312" w:hAnsi="宋体" w:eastAsia="仿宋_GB2312" w:cs="宋体"/>
          <w:kern w:val="0"/>
          <w:sz w:val="32"/>
          <w:szCs w:val="32"/>
        </w:rPr>
        <w:t>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Helvetica">
    <w:altName w:val="Arial"/>
    <w:panose1 w:val="020B0604020202020204"/>
    <w:charset w:val="00"/>
    <w:family w:val="swiss"/>
    <w:pitch w:val="default"/>
    <w:sig w:usb0="00000000" w:usb1="00000000" w:usb2="00000000" w:usb3="00000000" w:csb0="00000001" w:csb1="00000000"/>
  </w:font>
  <w:font w:name="Dialog">
    <w:altName w:val="Times New Roman"/>
    <w:panose1 w:val="00000000000000000000"/>
    <w:charset w:val="00"/>
    <w:family w:val="auto"/>
    <w:pitch w:val="default"/>
    <w:sig w:usb0="00000000" w:usb1="00000000" w:usb2="00000000" w:usb3="00000000" w:csb0="00000001" w:csb1="00000000"/>
  </w:font>
  <w:font w:name="方正小标宋_GBK">
    <w:altName w:val="Arial Unicode MS"/>
    <w:panose1 w:val="03000509000000000000"/>
    <w:charset w:val="86"/>
    <w:family w:val="script"/>
    <w:pitch w:val="default"/>
    <w:sig w:usb0="00000000" w:usb1="00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87628473"/>
    </w:sdtPr>
    <w:sdtContent>
      <w:p>
        <w:pPr>
          <w:pStyle w:val="4"/>
          <w:jc w:val="center"/>
        </w:pPr>
        <w:r>
          <w:fldChar w:fldCharType="begin"/>
        </w:r>
        <w:r>
          <w:instrText xml:space="preserve">PAGE   \* MERGEFORMAT</w:instrText>
        </w:r>
        <w:r>
          <w:fldChar w:fldCharType="separate"/>
        </w:r>
        <w:r>
          <w:t>- 29 -</w:t>
        </w:r>
        <w:r>
          <w:fldChar w:fldCharType="end"/>
        </w:r>
      </w:p>
    </w:sdtContent>
  </w:sdt>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MzYzcxNmFjOWU0MDU0NjVlZWM4NTczMTA1ZTYwMDYifQ=="/>
  </w:docVars>
  <w:rsids>
    <w:rsidRoot w:val="00206E59"/>
    <w:rsid w:val="00012120"/>
    <w:rsid w:val="000812B4"/>
    <w:rsid w:val="001B4FA3"/>
    <w:rsid w:val="00206E59"/>
    <w:rsid w:val="002A1A64"/>
    <w:rsid w:val="003E370E"/>
    <w:rsid w:val="005618A6"/>
    <w:rsid w:val="00575B0A"/>
    <w:rsid w:val="0058540B"/>
    <w:rsid w:val="00661518"/>
    <w:rsid w:val="0074204F"/>
    <w:rsid w:val="007E1BD3"/>
    <w:rsid w:val="0091715F"/>
    <w:rsid w:val="00944B81"/>
    <w:rsid w:val="009571CE"/>
    <w:rsid w:val="00C8617D"/>
    <w:rsid w:val="00D00CDC"/>
    <w:rsid w:val="00D85033"/>
    <w:rsid w:val="00DE309C"/>
    <w:rsid w:val="00E36144"/>
    <w:rsid w:val="035D3A75"/>
    <w:rsid w:val="037E01F8"/>
    <w:rsid w:val="04A26C11"/>
    <w:rsid w:val="07274632"/>
    <w:rsid w:val="07B91EEE"/>
    <w:rsid w:val="092D3D1B"/>
    <w:rsid w:val="0A8F2311"/>
    <w:rsid w:val="0ACE5950"/>
    <w:rsid w:val="0B5D184A"/>
    <w:rsid w:val="0C754690"/>
    <w:rsid w:val="0F44388E"/>
    <w:rsid w:val="0F865F3F"/>
    <w:rsid w:val="16106D99"/>
    <w:rsid w:val="17A41772"/>
    <w:rsid w:val="18E038DE"/>
    <w:rsid w:val="196E1023"/>
    <w:rsid w:val="1A60242D"/>
    <w:rsid w:val="1BA075E7"/>
    <w:rsid w:val="1C1E5ACF"/>
    <w:rsid w:val="1DA13B78"/>
    <w:rsid w:val="20F83E21"/>
    <w:rsid w:val="22A772D7"/>
    <w:rsid w:val="22FC6E3C"/>
    <w:rsid w:val="23844D52"/>
    <w:rsid w:val="24CD5AD3"/>
    <w:rsid w:val="296A2769"/>
    <w:rsid w:val="2A31744E"/>
    <w:rsid w:val="2B35711C"/>
    <w:rsid w:val="2B3E2E2F"/>
    <w:rsid w:val="2BFD08A1"/>
    <w:rsid w:val="2CFA33B8"/>
    <w:rsid w:val="2DEF1731"/>
    <w:rsid w:val="2DF81D5F"/>
    <w:rsid w:val="2ECB772B"/>
    <w:rsid w:val="319751F8"/>
    <w:rsid w:val="31C81A91"/>
    <w:rsid w:val="32124E62"/>
    <w:rsid w:val="35CA0F29"/>
    <w:rsid w:val="35FE1566"/>
    <w:rsid w:val="36160C92"/>
    <w:rsid w:val="36D62F81"/>
    <w:rsid w:val="37641589"/>
    <w:rsid w:val="37B2573B"/>
    <w:rsid w:val="37CA317F"/>
    <w:rsid w:val="38214AF7"/>
    <w:rsid w:val="38920175"/>
    <w:rsid w:val="3A332F17"/>
    <w:rsid w:val="3D8834E9"/>
    <w:rsid w:val="3DE83464"/>
    <w:rsid w:val="406D3F27"/>
    <w:rsid w:val="418B2961"/>
    <w:rsid w:val="41FE58EC"/>
    <w:rsid w:val="4215184D"/>
    <w:rsid w:val="429E6F7D"/>
    <w:rsid w:val="446C2762"/>
    <w:rsid w:val="47204B4A"/>
    <w:rsid w:val="48935A22"/>
    <w:rsid w:val="49C81B6C"/>
    <w:rsid w:val="4A23625D"/>
    <w:rsid w:val="4BE61AF4"/>
    <w:rsid w:val="4E466A86"/>
    <w:rsid w:val="4E81556B"/>
    <w:rsid w:val="50486462"/>
    <w:rsid w:val="52C807DC"/>
    <w:rsid w:val="57E954FD"/>
    <w:rsid w:val="5B524975"/>
    <w:rsid w:val="5E2A46D1"/>
    <w:rsid w:val="603F6B87"/>
    <w:rsid w:val="61AF1701"/>
    <w:rsid w:val="61FC3C8C"/>
    <w:rsid w:val="62326378"/>
    <w:rsid w:val="644A6C76"/>
    <w:rsid w:val="653974FE"/>
    <w:rsid w:val="67B1162F"/>
    <w:rsid w:val="685577F5"/>
    <w:rsid w:val="689E6D32"/>
    <w:rsid w:val="69C94168"/>
    <w:rsid w:val="69E94346"/>
    <w:rsid w:val="6A284AF2"/>
    <w:rsid w:val="6C7A2D13"/>
    <w:rsid w:val="71EF51C7"/>
    <w:rsid w:val="727D0124"/>
    <w:rsid w:val="738C131D"/>
    <w:rsid w:val="73BE79A9"/>
    <w:rsid w:val="75D328A5"/>
    <w:rsid w:val="78C859B1"/>
    <w:rsid w:val="79643938"/>
    <w:rsid w:val="79CA626B"/>
    <w:rsid w:val="7A275E7A"/>
    <w:rsid w:val="7C5E0A60"/>
    <w:rsid w:val="7EBA53E3"/>
    <w:rsid w:val="7EC51B51"/>
    <w:rsid w:val="7F4241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qFormat/>
    <w:uiPriority w:val="99"/>
    <w:pPr>
      <w:keepNext/>
      <w:keepLines/>
      <w:outlineLvl w:val="2"/>
    </w:pPr>
    <w:rPr>
      <w:b/>
      <w:bCs/>
      <w:szCs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6"/>
    <w:semiHidden/>
    <w:qFormat/>
    <w:uiPriority w:val="0"/>
    <w:rPr>
      <w:sz w:val="18"/>
      <w:szCs w:val="18"/>
      <w:lang w:val="zh-CN"/>
    </w:rPr>
  </w:style>
  <w:style w:type="paragraph" w:styleId="4">
    <w:name w:val="footer"/>
    <w:basedOn w:val="1"/>
    <w:link w:val="14"/>
    <w:qFormat/>
    <w:uiPriority w:val="99"/>
    <w:pPr>
      <w:tabs>
        <w:tab w:val="center" w:pos="4153"/>
        <w:tab w:val="right" w:pos="8306"/>
      </w:tabs>
      <w:snapToGrid w:val="0"/>
      <w:jc w:val="left"/>
    </w:pPr>
    <w:rPr>
      <w:rFonts w:eastAsia="黑体"/>
      <w:snapToGrid w:val="0"/>
      <w:kern w:val="0"/>
      <w:sz w:val="18"/>
      <w:szCs w:val="18"/>
      <w:lang w:val="zh-CN"/>
    </w:rPr>
  </w:style>
  <w:style w:type="paragraph" w:styleId="5">
    <w:name w:val="header"/>
    <w:basedOn w:val="1"/>
    <w:link w:val="17"/>
    <w:qFormat/>
    <w:uiPriority w:val="0"/>
    <w:pPr>
      <w:pBdr>
        <w:bottom w:val="single" w:color="auto" w:sz="6" w:space="1"/>
      </w:pBdr>
      <w:tabs>
        <w:tab w:val="center" w:pos="4153"/>
        <w:tab w:val="right" w:pos="8306"/>
      </w:tabs>
      <w:snapToGrid w:val="0"/>
      <w:jc w:val="center"/>
    </w:pPr>
    <w:rPr>
      <w:sz w:val="18"/>
      <w:szCs w:val="18"/>
      <w:lang w:val="zh-CN"/>
    </w:rPr>
  </w:style>
  <w:style w:type="paragraph" w:styleId="6">
    <w:name w:val="Body Text Indent 3"/>
    <w:basedOn w:val="1"/>
    <w:link w:val="18"/>
    <w:qFormat/>
    <w:uiPriority w:val="0"/>
    <w:pPr>
      <w:pBdr>
        <w:top w:val="single" w:color="auto" w:sz="12" w:space="1"/>
        <w:bottom w:val="single" w:color="auto" w:sz="12" w:space="1"/>
      </w:pBdr>
      <w:spacing w:line="600" w:lineRule="exact"/>
      <w:ind w:left="1280" w:hanging="1280" w:hangingChars="400"/>
    </w:pPr>
    <w:rPr>
      <w:rFonts w:eastAsia="仿宋_GB2312"/>
      <w:sz w:val="32"/>
      <w:lang w:val="zh-CN"/>
    </w:rPr>
  </w:style>
  <w:style w:type="paragraph" w:styleId="7">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table" w:styleId="9">
    <w:name w:val="Table Grid"/>
    <w:basedOn w:val="8"/>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qFormat/>
    <w:uiPriority w:val="0"/>
    <w:rPr>
      <w:rFonts w:cs="Times New Roman"/>
      <w:b/>
      <w:bCs/>
    </w:rPr>
  </w:style>
  <w:style w:type="character" w:styleId="12">
    <w:name w:val="page number"/>
    <w:basedOn w:val="10"/>
    <w:qFormat/>
    <w:uiPriority w:val="0"/>
  </w:style>
  <w:style w:type="character" w:styleId="13">
    <w:name w:val="Hyperlink"/>
    <w:qFormat/>
    <w:uiPriority w:val="0"/>
    <w:rPr>
      <w:color w:val="0000FF"/>
      <w:u w:val="single"/>
    </w:rPr>
  </w:style>
  <w:style w:type="character" w:customStyle="1" w:styleId="14">
    <w:name w:val="页脚 Char"/>
    <w:basedOn w:val="10"/>
    <w:link w:val="4"/>
    <w:qFormat/>
    <w:uiPriority w:val="99"/>
    <w:rPr>
      <w:rFonts w:ascii="Times New Roman" w:hAnsi="Times New Roman" w:eastAsia="黑体" w:cs="Times New Roman"/>
      <w:snapToGrid w:val="0"/>
      <w:kern w:val="0"/>
      <w:sz w:val="18"/>
      <w:szCs w:val="18"/>
      <w:lang w:val="zh-CN" w:eastAsia="zh-CN"/>
    </w:rPr>
  </w:style>
  <w:style w:type="paragraph" w:customStyle="1" w:styleId="15">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 w:type="character" w:customStyle="1" w:styleId="16">
    <w:name w:val="批注框文本 Char"/>
    <w:basedOn w:val="10"/>
    <w:link w:val="3"/>
    <w:semiHidden/>
    <w:qFormat/>
    <w:uiPriority w:val="0"/>
    <w:rPr>
      <w:rFonts w:ascii="Times New Roman" w:hAnsi="Times New Roman" w:eastAsia="宋体" w:cs="Times New Roman"/>
      <w:sz w:val="18"/>
      <w:szCs w:val="18"/>
      <w:lang w:val="zh-CN" w:eastAsia="zh-CN"/>
    </w:rPr>
  </w:style>
  <w:style w:type="character" w:customStyle="1" w:styleId="17">
    <w:name w:val="页眉 Char"/>
    <w:basedOn w:val="10"/>
    <w:link w:val="5"/>
    <w:qFormat/>
    <w:uiPriority w:val="0"/>
    <w:rPr>
      <w:rFonts w:ascii="Times New Roman" w:hAnsi="Times New Roman" w:eastAsia="宋体" w:cs="Times New Roman"/>
      <w:sz w:val="18"/>
      <w:szCs w:val="18"/>
      <w:lang w:val="zh-CN" w:eastAsia="zh-CN"/>
    </w:rPr>
  </w:style>
  <w:style w:type="character" w:customStyle="1" w:styleId="18">
    <w:name w:val="正文文本缩进 3 Char"/>
    <w:basedOn w:val="10"/>
    <w:link w:val="6"/>
    <w:qFormat/>
    <w:uiPriority w:val="0"/>
    <w:rPr>
      <w:rFonts w:ascii="Times New Roman" w:hAnsi="Times New Roman" w:eastAsia="仿宋_GB2312" w:cs="Times New Roman"/>
      <w:sz w:val="32"/>
      <w:szCs w:val="24"/>
      <w:lang w:val="zh-CN" w:eastAsia="zh-CN"/>
    </w:rPr>
  </w:style>
  <w:style w:type="paragraph" w:styleId="19">
    <w:name w:val="List Paragraph"/>
    <w:basedOn w:val="1"/>
    <w:qFormat/>
    <w:uiPriority w:val="34"/>
    <w:pPr>
      <w:ind w:firstLine="420" w:firstLineChars="200"/>
    </w:pPr>
    <w:rPr>
      <w:rFonts w:ascii="Calibri" w:hAnsi="Calibri"/>
      <w:szCs w:val="22"/>
    </w:rPr>
  </w:style>
  <w:style w:type="paragraph" w:customStyle="1" w:styleId="20">
    <w:name w:val="普通(网站)1"/>
    <w:basedOn w:val="1"/>
    <w:qFormat/>
    <w:uiPriority w:val="0"/>
    <w:rPr>
      <w:rFonts w:ascii="Calibri" w:hAnsi="Calibri" w:cs="黑体"/>
      <w:sz w:val="24"/>
    </w:rPr>
  </w:style>
  <w:style w:type="paragraph" w:customStyle="1" w:styleId="21">
    <w:name w:val="普通(网站)2"/>
    <w:basedOn w:val="1"/>
    <w:qFormat/>
    <w:uiPriority w:val="0"/>
    <w:rPr>
      <w:rFonts w:ascii="Calibri" w:hAnsi="Calibri" w:cs="黑体"/>
      <w:sz w:val="24"/>
    </w:rPr>
  </w:style>
  <w:style w:type="paragraph" w:customStyle="1" w:styleId="22">
    <w:name w:val="普通(网站)3"/>
    <w:basedOn w:val="1"/>
    <w:qFormat/>
    <w:uiPriority w:val="0"/>
    <w:rPr>
      <w:rFonts w:ascii="Calibri" w:hAnsi="Calibri" w:cs="黑体"/>
      <w:sz w:val="24"/>
    </w:rPr>
  </w:style>
  <w:style w:type="character" w:customStyle="1" w:styleId="23">
    <w:name w:val="font41"/>
    <w:basedOn w:val="10"/>
    <w:qFormat/>
    <w:uiPriority w:val="0"/>
    <w:rPr>
      <w:rFonts w:hint="default" w:ascii="Dialog" w:hAnsi="Dialog" w:eastAsia="Dialog" w:cs="Dialog"/>
      <w:color w:val="000000"/>
      <w:sz w:val="24"/>
      <w:szCs w:val="24"/>
      <w:u w:val="none"/>
    </w:rPr>
  </w:style>
  <w:style w:type="character" w:customStyle="1" w:styleId="24">
    <w:name w:val="font31"/>
    <w:basedOn w:val="10"/>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AEC4E1-2A5A-4A31-A2D4-639C2C5F70EF}">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28</Pages>
  <Words>2236</Words>
  <Characters>12746</Characters>
  <Lines>106</Lines>
  <Paragraphs>29</Paragraphs>
  <TotalTime>1</TotalTime>
  <ScaleCrop>false</ScaleCrop>
  <LinksUpToDate>false</LinksUpToDate>
  <CharactersWithSpaces>14953</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2020-01-09T07:32:00Z</dcterms:created>
  <dc:creator>闫超</dc:creator>
  <cp:lastModifiedBy>Administrator</cp:lastModifiedBy>
  <dcterms:modified xsi:type="dcterms:W3CDTF">2023-09-13T09:28:50Z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B77FF9256B6E4AA2A4128E42E479C663</vt:lpwstr>
  </property>
</Properties>
</file>