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27" w:firstLineChars="196"/>
        <w:rPr>
          <w:rFonts w:hint="eastAsia" w:ascii="仿宋_GB2312" w:eastAsia="仿宋_GB2312" w:cs="仿宋_GB2312"/>
          <w:sz w:val="32"/>
          <w:szCs w:val="32"/>
        </w:rPr>
      </w:pPr>
    </w:p>
    <w:p>
      <w:pPr>
        <w:spacing w:line="360" w:lineRule="auto"/>
        <w:ind w:firstLine="866" w:firstLineChars="196"/>
        <w:jc w:val="center"/>
        <w:rPr>
          <w:rFonts w:hint="eastAsia" w:ascii="仿宋_GB2312" w:hAnsi="仿宋_GB2312" w:eastAsia="仿宋_GB2312" w:cs="仿宋_GB2312"/>
          <w:b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sz w:val="44"/>
          <w:szCs w:val="44"/>
        </w:rPr>
        <w:t>202</w:t>
      </w:r>
      <w:r>
        <w:rPr>
          <w:rFonts w:hint="eastAsia" w:ascii="仿宋_GB2312" w:hAnsi="仿宋_GB2312" w:eastAsia="仿宋_GB2312" w:cs="仿宋_GB2312"/>
          <w:b/>
          <w:sz w:val="44"/>
          <w:szCs w:val="4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sz w:val="44"/>
          <w:szCs w:val="44"/>
        </w:rPr>
        <w:t>年昌吉州国有资本经营决算</w:t>
      </w:r>
      <w:r>
        <w:rPr>
          <w:rFonts w:hint="eastAsia" w:ascii="仿宋_GB2312" w:hAnsi="仿宋_GB2312" w:eastAsia="仿宋_GB2312" w:cs="仿宋_GB2312"/>
          <w:b/>
          <w:sz w:val="44"/>
          <w:szCs w:val="44"/>
          <w:lang w:eastAsia="zh-CN"/>
        </w:rPr>
        <w:t>执行</w:t>
      </w:r>
      <w:r>
        <w:rPr>
          <w:rFonts w:hint="eastAsia" w:ascii="仿宋_GB2312" w:hAnsi="仿宋_GB2312" w:eastAsia="仿宋_GB2312" w:cs="仿宋_GB2312"/>
          <w:b/>
          <w:sz w:val="44"/>
          <w:szCs w:val="44"/>
        </w:rPr>
        <w:t>情况</w:t>
      </w:r>
      <w:r>
        <w:rPr>
          <w:rFonts w:hint="eastAsia" w:ascii="仿宋_GB2312" w:hAnsi="仿宋_GB2312" w:eastAsia="仿宋_GB2312" w:cs="仿宋_GB2312"/>
          <w:b/>
          <w:sz w:val="44"/>
          <w:szCs w:val="44"/>
          <w:lang w:eastAsia="zh-CN"/>
        </w:rPr>
        <w:t>的</w:t>
      </w:r>
      <w:r>
        <w:rPr>
          <w:rFonts w:hint="eastAsia" w:ascii="仿宋_GB2312" w:hAnsi="仿宋_GB2312" w:eastAsia="仿宋_GB2312" w:cs="仿宋_GB2312"/>
          <w:b/>
          <w:sz w:val="44"/>
          <w:szCs w:val="44"/>
        </w:rPr>
        <w:t>说明</w:t>
      </w:r>
    </w:p>
    <w:p>
      <w:pPr>
        <w:spacing w:line="360" w:lineRule="auto"/>
        <w:ind w:firstLine="866" w:firstLineChars="196"/>
        <w:jc w:val="center"/>
        <w:rPr>
          <w:rFonts w:hint="eastAsia" w:ascii="仿宋_GB2312" w:hAnsi="仿宋_GB2312" w:eastAsia="仿宋_GB2312" w:cs="仿宋_GB2312"/>
          <w:b/>
          <w:sz w:val="44"/>
          <w:szCs w:val="44"/>
        </w:rPr>
      </w:pPr>
    </w:p>
    <w:p>
      <w:pPr>
        <w:spacing w:line="360" w:lineRule="auto"/>
        <w:ind w:firstLine="627" w:firstLineChars="196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sz w:val="32"/>
          <w:szCs w:val="32"/>
        </w:rPr>
        <w:t>按照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《中华人民共和国预算法》</w:t>
      </w:r>
      <w:r>
        <w:rPr>
          <w:rFonts w:hint="eastAsia" w:ascii="仿宋_GB2312" w:hAnsi="Arial" w:eastAsia="仿宋_GB2312" w:cs="仿宋_GB2312"/>
          <w:color w:val="auto"/>
          <w:kern w:val="0"/>
          <w:sz w:val="32"/>
          <w:szCs w:val="32"/>
        </w:rPr>
        <w:t>《昌吉州人民政府关于印发自治州试行国有资本经营预算意见的通知》（昌州政办发〔</w:t>
      </w:r>
      <w:r>
        <w:rPr>
          <w:rFonts w:ascii="仿宋_GB2312" w:hAnsi="Arial" w:eastAsia="仿宋_GB2312" w:cs="仿宋_GB2312"/>
          <w:color w:val="auto"/>
          <w:kern w:val="0"/>
          <w:sz w:val="32"/>
          <w:szCs w:val="32"/>
        </w:rPr>
        <w:t>2010</w:t>
      </w:r>
      <w:r>
        <w:rPr>
          <w:rFonts w:hint="eastAsia" w:ascii="仿宋_GB2312" w:hAnsi="Arial" w:eastAsia="仿宋_GB2312" w:cs="仿宋_GB2312"/>
          <w:color w:val="auto"/>
          <w:kern w:val="0"/>
          <w:sz w:val="32"/>
          <w:szCs w:val="32"/>
        </w:rPr>
        <w:t>〕</w:t>
      </w:r>
      <w:r>
        <w:rPr>
          <w:rFonts w:ascii="仿宋_GB2312" w:hAnsi="Arial" w:eastAsia="仿宋_GB2312" w:cs="仿宋_GB2312"/>
          <w:color w:val="auto"/>
          <w:kern w:val="0"/>
          <w:sz w:val="32"/>
          <w:szCs w:val="32"/>
        </w:rPr>
        <w:t>119</w:t>
      </w:r>
      <w:r>
        <w:rPr>
          <w:rFonts w:hint="eastAsia" w:ascii="仿宋_GB2312" w:hAnsi="Arial" w:eastAsia="仿宋_GB2312" w:cs="仿宋_GB2312"/>
          <w:color w:val="auto"/>
          <w:kern w:val="0"/>
          <w:sz w:val="32"/>
          <w:szCs w:val="32"/>
        </w:rPr>
        <w:t>号）《昌吉州本级国有资本经营预算管理办法》（昌州财企〔</w:t>
      </w:r>
      <w:r>
        <w:rPr>
          <w:rFonts w:ascii="仿宋_GB2312" w:hAnsi="Arial" w:eastAsia="仿宋_GB2312" w:cs="仿宋_GB2312"/>
          <w:color w:val="auto"/>
          <w:kern w:val="0"/>
          <w:sz w:val="32"/>
          <w:szCs w:val="32"/>
        </w:rPr>
        <w:t>2015</w:t>
      </w:r>
      <w:r>
        <w:rPr>
          <w:rFonts w:hint="eastAsia" w:ascii="仿宋_GB2312" w:hAnsi="Arial" w:eastAsia="仿宋_GB2312" w:cs="仿宋_GB2312"/>
          <w:color w:val="auto"/>
          <w:kern w:val="0"/>
          <w:sz w:val="32"/>
          <w:szCs w:val="32"/>
        </w:rPr>
        <w:t>〕</w:t>
      </w:r>
      <w:r>
        <w:rPr>
          <w:rFonts w:ascii="仿宋_GB2312" w:hAnsi="Arial" w:eastAsia="仿宋_GB2312" w:cs="仿宋_GB2312"/>
          <w:color w:val="auto"/>
          <w:kern w:val="0"/>
          <w:sz w:val="32"/>
          <w:szCs w:val="32"/>
        </w:rPr>
        <w:t>59</w:t>
      </w:r>
      <w:r>
        <w:rPr>
          <w:rFonts w:hint="eastAsia" w:ascii="仿宋_GB2312" w:hAnsi="Arial" w:eastAsia="仿宋_GB2312" w:cs="仿宋_GB2312"/>
          <w:color w:val="auto"/>
          <w:kern w:val="0"/>
          <w:sz w:val="32"/>
          <w:szCs w:val="32"/>
        </w:rPr>
        <w:t>号）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规定，现将202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年自治州国有资本经营预算执行情况说明如下：</w:t>
      </w:r>
    </w:p>
    <w:p>
      <w:pPr>
        <w:widowControl/>
        <w:adjustRightInd w:val="0"/>
        <w:snapToGrid w:val="0"/>
        <w:spacing w:line="360" w:lineRule="auto"/>
        <w:ind w:firstLine="707" w:firstLineChars="221"/>
        <w:rPr>
          <w:rFonts w:hint="eastAsia" w:ascii="黑体" w:eastAsia="黑体"/>
          <w:snapToGrid w:val="0"/>
          <w:color w:val="auto"/>
          <w:kern w:val="0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一、</w:t>
      </w:r>
      <w:r>
        <w:rPr>
          <w:rFonts w:hint="eastAsia" w:ascii="黑体" w:hAnsi="黑体" w:eastAsia="黑体" w:cs="仿宋_GB2312"/>
          <w:color w:val="auto"/>
          <w:kern w:val="0"/>
          <w:sz w:val="32"/>
          <w:szCs w:val="32"/>
          <w:lang w:val="zh-CN"/>
        </w:rPr>
        <w:t>202</w:t>
      </w:r>
      <w:r>
        <w:rPr>
          <w:rFonts w:hint="eastAsia" w:ascii="黑体" w:hAnsi="黑体" w:eastAsia="黑体" w:cs="仿宋_GB2312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仿宋_GB2312"/>
          <w:color w:val="auto"/>
          <w:kern w:val="0"/>
          <w:sz w:val="32"/>
          <w:szCs w:val="32"/>
          <w:lang w:val="zh-CN"/>
        </w:rPr>
        <w:t>年自治州国有资本经营决算执行情况</w:t>
      </w:r>
    </w:p>
    <w:p>
      <w:pPr>
        <w:tabs>
          <w:tab w:val="left" w:pos="3360"/>
        </w:tabs>
        <w:adjustRightInd w:val="0"/>
        <w:snapToGrid w:val="0"/>
        <w:spacing w:line="360" w:lineRule="auto"/>
        <w:ind w:firstLine="630" w:firstLineChars="196"/>
        <w:rPr>
          <w:rFonts w:asci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黑体" w:eastAsia="楷体_GB2312"/>
          <w:b/>
          <w:color w:val="auto"/>
          <w:sz w:val="32"/>
          <w:szCs w:val="32"/>
        </w:rPr>
        <w:t>（一）收入情况。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自治州国有资本经营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决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算完成收入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4846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zh-CN"/>
        </w:rPr>
        <w:t>万元</w:t>
      </w:r>
      <w:r>
        <w:rPr>
          <w:rFonts w:hint="eastAsia" w:ascii="仿宋_GB2312" w:eastAsia="仿宋_GB2312"/>
          <w:color w:val="auto"/>
          <w:sz w:val="32"/>
          <w:szCs w:val="32"/>
        </w:rPr>
        <w:t>，为年初预算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3933</w:t>
      </w:r>
      <w:r>
        <w:rPr>
          <w:rFonts w:hint="eastAsia" w:ascii="仿宋_GB2312" w:eastAsia="仿宋_GB2312"/>
          <w:color w:val="auto"/>
          <w:sz w:val="32"/>
          <w:szCs w:val="32"/>
        </w:rPr>
        <w:t>万元的123.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color w:val="auto"/>
          <w:sz w:val="32"/>
          <w:szCs w:val="32"/>
        </w:rPr>
        <w:t>%</w:t>
      </w:r>
      <w:r>
        <w:rPr>
          <w:rFonts w:ascii="仿宋_GB2312" w:eastAsia="仿宋_GB2312" w:cs="仿宋_GB2312"/>
          <w:color w:val="auto"/>
          <w:sz w:val="32"/>
          <w:szCs w:val="32"/>
        </w:rPr>
        <w:t>,</w:t>
      </w:r>
      <w:r>
        <w:rPr>
          <w:rFonts w:hint="eastAsia" w:ascii="仿宋_GB2312" w:hAnsi="宋体" w:eastAsia="仿宋_GB2312" w:cs="仿宋_GB2312"/>
          <w:color w:val="auto"/>
          <w:sz w:val="32"/>
          <w:szCs w:val="32"/>
        </w:rPr>
        <w:t>比</w:t>
      </w:r>
      <w:r>
        <w:rPr>
          <w:rFonts w:ascii="仿宋_GB2312" w:hAnsi="宋体" w:eastAsia="仿宋_GB2312" w:cs="仿宋_GB2312"/>
          <w:color w:val="auto"/>
          <w:sz w:val="32"/>
          <w:szCs w:val="32"/>
        </w:rPr>
        <w:t>2</w:t>
      </w:r>
      <w:r>
        <w:rPr>
          <w:rFonts w:ascii="仿宋_GB2312" w:eastAsia="仿宋_GB2312" w:cs="仿宋_GB2312"/>
          <w:color w:val="auto"/>
          <w:sz w:val="32"/>
          <w:szCs w:val="32"/>
        </w:rPr>
        <w:t>0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2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/>
        </w:rPr>
        <w:t>4874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减少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28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降低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0.57</w:t>
      </w:r>
      <w:r>
        <w:rPr>
          <w:rFonts w:ascii="仿宋_GB2312" w:eastAsia="仿宋_GB2312" w:cs="仿宋_GB2312"/>
          <w:color w:val="auto"/>
          <w:sz w:val="32"/>
          <w:szCs w:val="32"/>
        </w:rPr>
        <w:t>%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。其中：利润收入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3769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万元，股利、股息收入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1077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万元,</w:t>
      </w:r>
      <w:r>
        <w:rPr>
          <w:rFonts w:hint="eastAsia"/>
          <w:color w:val="auto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国有资本经营预算转移支付收入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335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</w:t>
      </w:r>
      <w:r>
        <w:rPr>
          <w:rFonts w:hint="eastAsia" w:ascii="仿宋_GB2312" w:hAnsi="宋体" w:eastAsia="仿宋_GB2312"/>
          <w:color w:val="auto"/>
          <w:spacing w:val="-4"/>
          <w:sz w:val="32"/>
          <w:szCs w:val="32"/>
        </w:rPr>
        <w:t>（中央财政安排的国有企业退休人员社会化管理补助支出）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。</w:t>
      </w:r>
    </w:p>
    <w:p>
      <w:pPr>
        <w:tabs>
          <w:tab w:val="left" w:pos="3360"/>
        </w:tabs>
        <w:adjustRightInd w:val="0"/>
        <w:snapToGrid w:val="0"/>
        <w:spacing w:line="360" w:lineRule="auto"/>
        <w:ind w:firstLine="630" w:firstLineChars="196"/>
        <w:rPr>
          <w:rFonts w:asci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黑体" w:eastAsia="楷体_GB2312"/>
          <w:b/>
          <w:color w:val="auto"/>
          <w:sz w:val="32"/>
          <w:szCs w:val="32"/>
        </w:rPr>
        <w:t>（二）支出情况。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自治州国有资本经营预算完成支出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3414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万元，为</w:t>
      </w:r>
      <w:r>
        <w:rPr>
          <w:rFonts w:hint="eastAsia" w:ascii="仿宋_GB2312" w:eastAsia="仿宋_GB2312"/>
          <w:color w:val="auto"/>
          <w:sz w:val="32"/>
          <w:szCs w:val="32"/>
        </w:rPr>
        <w:t>年初预算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3768</w:t>
      </w:r>
      <w:r>
        <w:rPr>
          <w:rFonts w:hint="eastAsia" w:ascii="仿宋_GB2312" w:eastAsia="仿宋_GB2312"/>
          <w:color w:val="auto"/>
          <w:sz w:val="32"/>
          <w:szCs w:val="32"/>
        </w:rPr>
        <w:t>万元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90.61</w:t>
      </w:r>
      <w:r>
        <w:rPr>
          <w:rFonts w:ascii="仿宋_GB2312" w:eastAsia="仿宋_GB2312" w:cs="仿宋_GB2312"/>
          <w:color w:val="auto"/>
          <w:sz w:val="32"/>
          <w:szCs w:val="32"/>
        </w:rPr>
        <w:t>%,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比</w:t>
      </w:r>
      <w:r>
        <w:rPr>
          <w:rFonts w:ascii="仿宋_GB2312" w:eastAsia="仿宋_GB2312" w:cs="仿宋_GB2312"/>
          <w:color w:val="auto"/>
          <w:sz w:val="32"/>
          <w:szCs w:val="32"/>
        </w:rPr>
        <w:t>20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2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4075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减少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661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降低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16.22</w:t>
      </w:r>
      <w:r>
        <w:rPr>
          <w:rFonts w:ascii="仿宋_GB2312" w:eastAsia="仿宋_GB2312" w:cs="仿宋_GB2312"/>
          <w:color w:val="auto"/>
          <w:sz w:val="32"/>
          <w:szCs w:val="32"/>
        </w:rPr>
        <w:t>%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。其中：国有资本经营预算调出资金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1502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万元（调入一般公共预算），解决历史遗留问题及改革成本支出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855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万元，国有企业资本金注入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2559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万元。</w:t>
      </w:r>
      <w:bookmarkStart w:id="0" w:name="_GoBack"/>
      <w:bookmarkEnd w:id="0"/>
    </w:p>
    <w:p>
      <w:pPr>
        <w:tabs>
          <w:tab w:val="left" w:pos="3360"/>
        </w:tabs>
        <w:adjustRightInd w:val="0"/>
        <w:snapToGrid w:val="0"/>
        <w:spacing w:line="360" w:lineRule="auto"/>
        <w:ind w:firstLine="630" w:firstLineChars="196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黑体" w:eastAsia="楷体_GB2312"/>
          <w:b/>
          <w:color w:val="auto"/>
          <w:sz w:val="32"/>
          <w:szCs w:val="32"/>
        </w:rPr>
        <w:t>（三）收支平衡情况。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自治州国有资本经营预算收入总计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5851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万元（其中：本年利润收入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3769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万元，股利、股息收入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1077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万元,</w:t>
      </w:r>
      <w:r>
        <w:rPr>
          <w:rFonts w:hint="eastAsia"/>
          <w:color w:val="auto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国有资本经营预算转移支付收入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335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万元，上年结转收入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670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万元），国有资本经营预算支出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5851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万元。收支相抵，年终结余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935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万元。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0F4F26"/>
    <w:rsid w:val="18D207ED"/>
    <w:rsid w:val="22236AF0"/>
    <w:rsid w:val="27BC3B76"/>
    <w:rsid w:val="44AB25A4"/>
    <w:rsid w:val="4C0F4F26"/>
    <w:rsid w:val="4CFD119E"/>
    <w:rsid w:val="55475F6B"/>
    <w:rsid w:val="5E0B3F14"/>
    <w:rsid w:val="5E3C2E88"/>
    <w:rsid w:val="5E713D6D"/>
    <w:rsid w:val="68BA4A4C"/>
    <w:rsid w:val="70CA6EB7"/>
    <w:rsid w:val="76E2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2023-08-10T04:47:00Z</dcterms:created>
  <dc:creator>Administrator</dc:creator>
  <cp:lastModifiedBy>12</cp:lastModifiedBy>
  <dcterms:modified xsi:type="dcterms:W3CDTF">2023-09-01T03:08:43Z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